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8.gif" ContentType="image/gif"/>
  <Override PartName="/word/media/image8.jpeg" ContentType="image/jpeg"/>
  <Override PartName="/word/media/image10.jpeg" ContentType="image/jpeg"/>
  <Override PartName="/word/media/image19.jpeg" ContentType="image/jpeg"/>
  <Override PartName="/word/media/image1.gif" ContentType="image/gif"/>
  <Override PartName="/word/media/image17.gif" ContentType="image/gif"/>
  <Override PartName="/word/media/image2.jpeg" ContentType="image/jpeg"/>
  <Override PartName="/word/media/image16.gif" ContentType="image/gif"/>
  <Override PartName="/word/media/image14.jpeg" ContentType="image/jpeg"/>
  <Override PartName="/word/media/image15.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51231.htm"/>
      <w:bookmarkStart w:id="1" w:name="ksasnd2025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6"/>
        </w:rPr>
        <w:t>FORM 20-F</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REGISTRATION STATEMENT PURSUANT TO SECTION 12(b) OR (g)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ANNUAL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fiscal year ended December 31, 2025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SHELL COMPANY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Date of event requiring this shell company report</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 and translation of Registrant’s name into English)</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The Kingdom of 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(Jurisdiction of incorporation or organization)</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w:t>
      </w:r>
      <w:r>
        <w:rPr>
          <w:rFonts w:ascii="Times New Roman" w:hAnsi="Times New Roman"/>
          <w:color w:val="000000"/>
          <w:sz w:val="20"/>
        </w:rPr>
        <w:t xml:space="preserve"> </w:t>
      </w:r>
      <w:r>
        <w:rPr>
          <w:rFonts w:ascii="Times New Roman" w:hAnsi="Times New Roman"/>
          <w:b/>
          <w:color w:val="000000"/>
          <w:sz w:val="20"/>
        </w:rPr>
        <w:t>Hellerup, 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Jan Møller Mikkelsen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w:t>
      </w:r>
      <w:r>
        <w:rPr>
          <w:rFonts w:ascii="Times New Roman" w:hAnsi="Times New Roman"/>
          <w:color w:val="000000"/>
          <w:sz w:val="20"/>
        </w:rPr>
        <w:t xml:space="preserve"> </w:t>
      </w:r>
      <w:r>
        <w:rPr>
          <w:rFonts w:ascii="Times New Roman" w:hAnsi="Times New Roman"/>
          <w:b/>
          <w:color w:val="000000"/>
          <w:sz w:val="20"/>
        </w:rPr>
        <w:t>Hellerup, 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Telephone: +45</w:t>
      </w:r>
      <w:r>
        <w:rPr>
          <w:rFonts w:ascii="Times New Roman" w:hAnsi="Times New Roman"/>
          <w:color w:val="000000"/>
          <w:sz w:val="20"/>
        </w:rPr>
        <w:t xml:space="preserve"> </w:t>
      </w:r>
      <w:r>
        <w:rPr>
          <w:rFonts w:ascii="Times New Roman" w:hAnsi="Times New Roman"/>
          <w:b/>
          <w:color w:val="000000"/>
          <w:sz w:val="20"/>
        </w:rPr>
        <w:t>70 22 22 44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Telephone, E-mail and/or Facsimile number and Address of Company Contact Person)</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Securities registered or to be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5"/>
        <w:gridCol w:w="1109"/>
        <w:gridCol w:w="2621"/>
      </w:tblGrid>
      <w:tr>
        <w:trPr/>
        <w:tc>
          <w:tcPr>
            <w:tcW w:w="6475" w:type="dxa"/>
            <w:tcBorders/>
            <w:shd w:fill="FFFFFF" w:val="clear"/>
            <w:vAlign w:val="center"/>
          </w:tcPr>
          <w:p>
            <w:pPr>
              <w:pStyle w:val="TableContents"/>
              <w:bidi w:val="0"/>
              <w:spacing w:before="0" w:after="283"/>
              <w:jc w:val="left"/>
              <w:rPr>
                <w:sz w:val="4"/>
                <w:szCs w:val="4"/>
              </w:rPr>
            </w:pPr>
            <w:r>
              <w:rPr>
                <w:sz w:val="4"/>
                <w:szCs w:val="4"/>
              </w:rPr>
            </w:r>
          </w:p>
        </w:tc>
        <w:tc>
          <w:tcPr>
            <w:tcW w:w="1109" w:type="dxa"/>
            <w:tcBorders/>
            <w:shd w:fill="FFFFFF" w:val="clear"/>
            <w:vAlign w:val="center"/>
          </w:tcPr>
          <w:p>
            <w:pPr>
              <w:pStyle w:val="TableContents"/>
              <w:bidi w:val="0"/>
              <w:spacing w:before="0" w:after="283"/>
              <w:jc w:val="left"/>
              <w:rPr>
                <w:sz w:val="4"/>
                <w:szCs w:val="4"/>
              </w:rPr>
            </w:pPr>
            <w:r>
              <w:rPr>
                <w:sz w:val="4"/>
                <w:szCs w:val="4"/>
              </w:rPr>
            </w:r>
          </w:p>
        </w:tc>
        <w:tc>
          <w:tcPr>
            <w:tcW w:w="2621" w:type="dxa"/>
            <w:tcBorders/>
            <w:shd w:fill="FFFFFF" w:val="clear"/>
            <w:vAlign w:val="center"/>
          </w:tcPr>
          <w:p>
            <w:pPr>
              <w:pStyle w:val="TableContents"/>
              <w:bidi w:val="0"/>
              <w:spacing w:before="0" w:after="283"/>
              <w:jc w:val="left"/>
              <w:rPr>
                <w:sz w:val="4"/>
                <w:szCs w:val="4"/>
              </w:rPr>
            </w:pPr>
            <w:r>
              <w:rPr>
                <w:sz w:val="4"/>
                <w:szCs w:val="4"/>
              </w:rPr>
            </w:r>
          </w:p>
        </w:tc>
      </w:tr>
      <w:tr>
        <w:trPr/>
        <w:tc>
          <w:tcPr>
            <w:tcW w:w="64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2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4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American Depositary Shares, each representing one ordinary share, nominal value DKK 1 per share</w:t>
            </w:r>
          </w:p>
        </w:tc>
        <w:tc>
          <w:tcPr>
            <w:tcW w:w="11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ASND</w:t>
            </w:r>
          </w:p>
        </w:tc>
        <w:tc>
          <w:tcPr>
            <w:tcW w:w="2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r>
        <w:trPr/>
        <w:tc>
          <w:tcPr>
            <w:tcW w:w="6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 nominal value DKK 1 per share*</w:t>
            </w:r>
          </w:p>
        </w:tc>
        <w:tc>
          <w:tcPr>
            <w:tcW w:w="1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Not for trading, but only in connection with the registration of the American Depositary Shares.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Securities registered or to be registered pursuant to Section 12(g) of the Act: None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Securities for which there is a reporting obligation pursuant to Section 15(d) of the Act: None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the number of outstanding shares of each of the issuer’s classes of capital or common stock as of the close of the period covered by the annual report: </w:t>
      </w:r>
    </w:p>
    <w:p>
      <w:pPr>
        <w:pStyle w:val="TextBody"/>
        <w:bidi w:val="0"/>
        <w:spacing w:before="60" w:after="283"/>
        <w:jc w:val="center"/>
        <w:rPr>
          <w:rFonts w:ascii="Times New Roman" w:hAnsi="Times New Roman"/>
          <w:sz w:val="20"/>
        </w:rPr>
      </w:pPr>
      <w:r>
        <w:rPr>
          <w:rFonts w:ascii="Times New Roman" w:hAnsi="Times New Roman"/>
          <w:b/>
          <w:color w:val="000000"/>
          <w:sz w:val="20"/>
        </w:rPr>
        <w:t>61,977,408</w:t>
      </w:r>
      <w:r>
        <w:rPr>
          <w:rFonts w:ascii="Times New Roman" w:hAnsi="Times New Roman"/>
          <w:color w:val="000000"/>
          <w:sz w:val="20"/>
        </w:rPr>
        <w:t xml:space="preserve"> </w:t>
      </w:r>
      <w:r>
        <w:rPr>
          <w:rFonts w:ascii="Times New Roman" w:hAnsi="Times New Roman"/>
          <w:b/>
          <w:color w:val="000000"/>
          <w:sz w:val="20"/>
        </w:rPr>
        <w:t>ordinary shares (including 597,096 ordinary shares represented by ADSs held by the registrant and its consolidated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(as of December 31, 2025)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if the registrant is a well-known seasoned issuer, as defined in Rule 405 of the Securities Act. ☒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this report is an annual or transition report, indicate by check mark if the registrant is not required to file reports pursuant to Section 13 or 15(d) of the Securities Exchange Act of 1934. ☐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Note – Checking the box above will not relieve any registrant required to file reports pursuant to Section 13 or 15(d) of the Securities Exchange Act of 1934 from their obligations under those Sections.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(Check one): </w:t>
      </w:r>
    </w:p>
    <w:p>
      <w:pPr>
        <w:pStyle w:val="TextBody"/>
        <w:bidi w:val="0"/>
        <w:jc w:val="left"/>
        <w:rPr/>
      </w:pPr>
      <w:r>
        <w:rPr/>
        <w:t> </w:t>
      </w:r>
    </w:p>
    <w:tbl>
      <w:tblPr>
        <w:tblW w:w="8419" w:type="dxa"/>
        <w:jc w:val="left"/>
        <w:tblInd w:w="0" w:type="dxa"/>
        <w:tblLayout w:type="fixed"/>
        <w:tblCellMar>
          <w:top w:w="28" w:type="dxa"/>
          <w:left w:w="28" w:type="dxa"/>
          <w:bottom w:w="28" w:type="dxa"/>
          <w:right w:w="28" w:type="dxa"/>
        </w:tblCellMar>
      </w:tblPr>
      <w:tblGrid>
        <w:gridCol w:w="2146"/>
        <w:gridCol w:w="1666"/>
        <w:gridCol w:w="202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which basis of accounting the registrant has used to prepare the financial statements included in this filing: </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1231"/>
        <w:gridCol w:w="4441"/>
        <w:gridCol w:w="826"/>
      </w:tblGrid>
      <w:tr>
        <w:trPr/>
        <w:tc>
          <w:tcPr>
            <w:tcW w:w="123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 ☐</w:t>
            </w:r>
          </w:p>
        </w:tc>
        <w:tc>
          <w:tcPr>
            <w:tcW w:w="4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International Financial Reporting Standards as issued</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by the International Accounting Standards Board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“Other” has been checked in response to the previous question, indicate by check mark which financial statement item the registrant has elected to follow: ☐ Item 17 ☐ Item 18 </w:t>
      </w:r>
    </w:p>
    <w:p>
      <w:pPr>
        <w:pStyle w:val="TextBody"/>
        <w:bidi w:val="0"/>
        <w:jc w:val="left"/>
        <w:rPr>
          <w:rFonts w:ascii="Times New Roman" w:hAnsi="Times New Roman"/>
          <w:color w:val="000000"/>
          <w:sz w:val="20"/>
        </w:rPr>
      </w:pPr>
      <w:r>
        <w:rPr>
          <w:rFonts w:ascii="Times New Roman" w:hAnsi="Times New Roman"/>
          <w:color w:val="000000"/>
          <w:sz w:val="20"/>
        </w:rPr>
        <w:t xml:space="preserve">If this is an annual report, indicate by check mark whether the registrant is a shell company (as defined in Rule 12b-2 of the Exchange Act). ☐ Yes ☒ No </w:t>
      </w:r>
    </w:p>
    <w:p>
      <w:pPr>
        <w:pStyle w:val="TextBody"/>
        <w:bidi w:val="0"/>
        <w:jc w:val="left"/>
        <w:rPr/>
      </w:pPr>
      <w:r>
        <w:rPr/>
        <w:t> </w:t>
      </w:r>
    </w:p>
    <w:tbl>
      <w:tblPr>
        <w:tblW w:w="7331" w:type="dxa"/>
        <w:jc w:val="left"/>
        <w:tblInd w:w="0" w:type="dxa"/>
        <w:tblLayout w:type="fixed"/>
        <w:tblCellMar>
          <w:top w:w="28" w:type="dxa"/>
          <w:left w:w="28" w:type="dxa"/>
          <w:bottom w:w="28" w:type="dxa"/>
          <w:right w:w="28" w:type="dxa"/>
        </w:tblCellMar>
      </w:tblPr>
      <w:tblGrid>
        <w:gridCol w:w="1576"/>
        <w:gridCol w:w="109"/>
        <w:gridCol w:w="3451"/>
        <w:gridCol w:w="109"/>
        <w:gridCol w:w="208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Auditor Firm ID: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Auditor Name: Deloitte Statsautoriseret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Auditor Location:</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Revisionspartnerselskab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Copenhagen, Denmark</w:t>
            </w:r>
          </w:p>
        </w:tc>
      </w:tr>
    </w:tbl>
    <w:p>
      <w:pPr>
        <w:pStyle w:val="TextBody"/>
        <w:pBdr>
          <w:top w:val="single" w:sz="6" w:space="1" w:color="000000"/>
        </w:pBdr>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8208" w:type="dxa"/>
        <w:jc w:val="left"/>
        <w:tblInd w:w="0" w:type="dxa"/>
        <w:tblLayout w:type="fixed"/>
        <w:tblCellMar>
          <w:top w:w="28" w:type="dxa"/>
          <w:left w:w="28" w:type="dxa"/>
          <w:bottom w:w="28" w:type="dxa"/>
          <w:right w:w="28" w:type="dxa"/>
        </w:tblCellMar>
      </w:tblPr>
      <w:tblGrid>
        <w:gridCol w:w="1111"/>
        <w:gridCol w:w="6286"/>
        <w:gridCol w:w="811"/>
      </w:tblGrid>
      <w:tr>
        <w:trPr/>
        <w:tc>
          <w:tcPr>
            <w:tcW w:w="111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b/>
                <w:color w:val="000000"/>
                <w:sz w:val="20"/>
              </w:rPr>
            </w:pPr>
            <w:r>
              <w:rPr>
                <w:rFonts w:ascii="Times New Roman" w:hAnsi="Times New Roman"/>
                <w:b/>
                <w:color w:val="000000"/>
                <w:sz w:val="20"/>
              </w:rPr>
              <w:t>Page</w:t>
            </w:r>
          </w:p>
        </w:tc>
      </w:tr>
      <w:tr>
        <w:trPr/>
        <w:tc>
          <w:tcPr>
            <w:tcW w:w="739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general">
              <w:r>
                <w:rPr>
                  <w:rStyle w:val="InternetLink"/>
                  <w:rFonts w:ascii="Times New Roman" w:hAnsi="Times New Roman"/>
                  <w:color w:val="0000FF"/>
                  <w:sz w:val="20"/>
                  <w:u w:val="single"/>
                </w:rPr>
                <w:t>General</w:t>
              </w:r>
            </w:hyperlink>
            <w:r>
              <w:rPr>
                <w:rFonts w:ascii="Times New Roman" w:hAnsi="Times New Roman"/>
                <w:color w:val="000000"/>
                <w:sz w:val="20"/>
              </w:rPr>
              <w:t xml:space="preserve"> </w:t>
            </w:r>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739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pecial_note_regarding_forward">
              <w:r>
                <w:rPr>
                  <w:rStyle w:val="InternetLink"/>
                  <w:rFonts w:ascii="Times New Roman" w:hAnsi="Times New Roman"/>
                  <w:color w:val="0000FF"/>
                  <w:sz w:val="20"/>
                  <w:u w:val="single"/>
                </w:rPr>
                <w:t>Special Note Regarding Forward-Looking Statements</w:t>
              </w:r>
            </w:hyperlink>
            <w:r>
              <w:rPr>
                <w:rFonts w:ascii="Times New Roman" w:hAnsi="Times New Roman"/>
                <w:color w:val="000000"/>
                <w:sz w:val="20"/>
              </w:rPr>
              <w:t xml:space="preserve"> </w:t>
            </w:r>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739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um_of_mat_risks_asso_with_our_business">
              <w:r>
                <w:rPr>
                  <w:rStyle w:val="InternetLink"/>
                  <w:rFonts w:ascii="Times New Roman" w:hAnsi="Times New Roman"/>
                  <w:color w:val="0000FF"/>
                  <w:sz w:val="20"/>
                  <w:u w:val="single"/>
                </w:rPr>
                <w:t>Summary of Material Risks Associated With Our Business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w:t>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color w:val="0000FF"/>
                  <w:sz w:val="20"/>
                  <w:u w:val="single"/>
                </w:rPr>
                <w:t>PART I</w:t>
              </w:r>
            </w:hyperlink>
            <w:r>
              <w:rPr>
                <w:rFonts w:ascii="Times New Roman" w:hAnsi="Times New Roman"/>
                <w:color w:val="000000"/>
                <w:sz w:val="20"/>
              </w:rPr>
              <w:t xml:space="preserve"> </w:t>
            </w:r>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_identity_of_directors">
              <w:r>
                <w:rPr>
                  <w:rStyle w:val="InternetLink"/>
                  <w:rFonts w:ascii="Times New Roman" w:hAnsi="Times New Roman"/>
                  <w:color w:val="0000FF"/>
                  <w:sz w:val="20"/>
                  <w:u w:val="single"/>
                </w:rPr>
                <w:t>Identity of Directors, Senior Management and Advisers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2_offer_statistics_and_expected">
              <w:r>
                <w:rPr>
                  <w:rStyle w:val="InternetLink"/>
                  <w:rFonts w:ascii="Times New Roman" w:hAnsi="Times New Roman"/>
                  <w:color w:val="0000FF"/>
                  <w:sz w:val="20"/>
                  <w:u w:val="single"/>
                </w:rPr>
                <w:t>Offer Statistics and Expected Timetable</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3_key_information">
              <w:r>
                <w:rPr>
                  <w:rStyle w:val="InternetLink"/>
                  <w:rFonts w:ascii="Times New Roman" w:hAnsi="Times New Roman"/>
                  <w:color w:val="0000FF"/>
                  <w:sz w:val="20"/>
                  <w:u w:val="single"/>
                </w:rPr>
                <w:t>Key Information</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4_information_on_the_company">
              <w:r>
                <w:rPr>
                  <w:rStyle w:val="InternetLink"/>
                  <w:rFonts w:ascii="Times New Roman" w:hAnsi="Times New Roman"/>
                  <w:color w:val="0000FF"/>
                  <w:sz w:val="20"/>
                  <w:u w:val="single"/>
                </w:rPr>
                <w:t>Information on the Company</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83</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4A</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4a_unresolved_staff_comments">
              <w:r>
                <w:rPr>
                  <w:rStyle w:val="InternetLink"/>
                  <w:rFonts w:ascii="Times New Roman" w:hAnsi="Times New Roman"/>
                  <w:color w:val="0000FF"/>
                  <w:sz w:val="20"/>
                  <w:u w:val="single"/>
                </w:rPr>
                <w:t>Unresolved Staff Comments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135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5_operating_and_financial_review">
              <w:r>
                <w:rPr>
                  <w:rStyle w:val="InternetLink"/>
                  <w:rFonts w:ascii="Times New Roman" w:hAnsi="Times New Roman"/>
                  <w:color w:val="0000FF"/>
                  <w:sz w:val="20"/>
                  <w:u w:val="single"/>
                </w:rPr>
                <w:t>Operating and Financial Review and Prospects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135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6_directors_senior_management">
              <w:r>
                <w:rPr>
                  <w:rStyle w:val="InternetLink"/>
                  <w:rFonts w:ascii="Times New Roman" w:hAnsi="Times New Roman"/>
                  <w:color w:val="0000FF"/>
                  <w:sz w:val="20"/>
                  <w:u w:val="single"/>
                </w:rPr>
                <w:t>Directors, Senior Management and Employees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142</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7</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7_major_shareholders_and_related">
              <w:r>
                <w:rPr>
                  <w:rStyle w:val="InternetLink"/>
                  <w:rFonts w:ascii="Times New Roman" w:hAnsi="Times New Roman"/>
                  <w:color w:val="0000FF"/>
                  <w:sz w:val="20"/>
                  <w:u w:val="single"/>
                </w:rPr>
                <w:t>Major Shareholders and Related Party Transactions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154</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8</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8_financial_information">
              <w:r>
                <w:rPr>
                  <w:rStyle w:val="InternetLink"/>
                  <w:rFonts w:ascii="Times New Roman" w:hAnsi="Times New Roman"/>
                  <w:color w:val="0000FF"/>
                  <w:sz w:val="20"/>
                  <w:u w:val="single"/>
                </w:rPr>
                <w:t>Financial Information</w:t>
              </w:r>
            </w:hyperlink>
            <w:hyperlink w:anchor="item_8_financial_information">
              <w:r>
                <w:rPr>
                  <w:rStyle w:val="InternetLink"/>
                  <w:rFonts w:ascii="Times New Roman" w:hAnsi="Times New Roman"/>
                  <w:color w:val="0000FF"/>
                  <w:sz w:val="20"/>
                </w:rPr>
                <w:t xml:space="preserve"> </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158</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9_the_offer_and_listing">
              <w:r>
                <w:rPr>
                  <w:rStyle w:val="InternetLink"/>
                  <w:rFonts w:ascii="Times New Roman" w:hAnsi="Times New Roman"/>
                  <w:color w:val="0000FF"/>
                  <w:sz w:val="20"/>
                  <w:u w:val="single"/>
                </w:rPr>
                <w:t>The Offer and Listing</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159</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10</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0_additional_information">
              <w:r>
                <w:rPr>
                  <w:rStyle w:val="InternetLink"/>
                  <w:rFonts w:ascii="Times New Roman" w:hAnsi="Times New Roman"/>
                  <w:color w:val="0000FF"/>
                  <w:sz w:val="20"/>
                  <w:u w:val="single"/>
                </w:rPr>
                <w:t>Additional Information</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159</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11</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1_quantitative_and_qualitative">
              <w:r>
                <w:rPr>
                  <w:rStyle w:val="InternetLink"/>
                  <w:rFonts w:ascii="Times New Roman" w:hAnsi="Times New Roman"/>
                  <w:color w:val="0000FF"/>
                  <w:sz w:val="20"/>
                  <w:u w:val="single"/>
                </w:rPr>
                <w:t>Quantitative and Qualitative Disclosures About Market Risk</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171</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12</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2_description_of_securities_other">
              <w:r>
                <w:rPr>
                  <w:rStyle w:val="InternetLink"/>
                  <w:rFonts w:ascii="Times New Roman" w:hAnsi="Times New Roman"/>
                  <w:color w:val="0000FF"/>
                  <w:sz w:val="20"/>
                  <w:u w:val="single"/>
                </w:rPr>
                <w:t>Description of Securities Other than Equity Securities</w:t>
              </w:r>
            </w:hyperlink>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171</w:t>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color w:val="0000FF"/>
                  <w:sz w:val="20"/>
                  <w:u w:val="single"/>
                </w:rPr>
                <w:t>PART II</w:t>
              </w:r>
            </w:hyperlink>
            <w:r>
              <w:rPr>
                <w:rFonts w:ascii="Times New Roman" w:hAnsi="Times New Roman"/>
                <w:color w:val="000000"/>
                <w:sz w:val="20"/>
              </w:rPr>
              <w:t xml:space="preserve"> </w:t>
            </w:r>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173</w:t>
            </w:r>
          </w:p>
        </w:tc>
      </w:tr>
      <w:tr>
        <w:trPr/>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13</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3_defaults_dividend_arrearages">
              <w:r>
                <w:rPr>
                  <w:rStyle w:val="InternetLink"/>
                  <w:rFonts w:ascii="Times New Roman" w:hAnsi="Times New Roman"/>
                  <w:color w:val="0000FF"/>
                  <w:sz w:val="20"/>
                  <w:u w:val="single"/>
                </w:rPr>
                <w:t>Defaults, Dividend Arrearages and Delinquencies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173</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14</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4_material_modification_to_the">
              <w:r>
                <w:rPr>
                  <w:rStyle w:val="InternetLink"/>
                  <w:rFonts w:ascii="Times New Roman" w:hAnsi="Times New Roman"/>
                  <w:color w:val="0000FF"/>
                  <w:sz w:val="20"/>
                  <w:u w:val="single"/>
                </w:rPr>
                <w:t>Material Modification to the Rights of Security Holders and Use of Proceeds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173</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15</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5_control_and_procedures">
              <w:r>
                <w:rPr>
                  <w:rStyle w:val="InternetLink"/>
                  <w:rFonts w:ascii="Times New Roman" w:hAnsi="Times New Roman"/>
                  <w:color w:val="0000FF"/>
                  <w:sz w:val="20"/>
                  <w:u w:val="single"/>
                </w:rPr>
                <w:t>Controls and Procedures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173</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16A</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a_audit_committee_financial">
              <w:r>
                <w:rPr>
                  <w:rStyle w:val="InternetLink"/>
                  <w:rFonts w:ascii="Times New Roman" w:hAnsi="Times New Roman"/>
                  <w:color w:val="0000FF"/>
                  <w:sz w:val="20"/>
                  <w:u w:val="single"/>
                </w:rPr>
                <w:t>Audit Committee Financial Expert</w:t>
              </w:r>
            </w:hyperlink>
            <w:hyperlink w:anchor="item_16a_audit_committee_financial">
              <w:r>
                <w:rPr>
                  <w:rStyle w:val="InternetLink"/>
                  <w:rFonts w:ascii="Times New Roman" w:hAnsi="Times New Roman"/>
                  <w:color w:val="0000FF"/>
                  <w:sz w:val="20"/>
                </w:rPr>
                <w:t xml:space="preserve"> </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174</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16B</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b_code_of_ethics">
              <w:r>
                <w:rPr>
                  <w:rStyle w:val="InternetLink"/>
                  <w:rFonts w:ascii="Times New Roman" w:hAnsi="Times New Roman"/>
                  <w:color w:val="0000FF"/>
                  <w:sz w:val="20"/>
                  <w:u w:val="single"/>
                </w:rPr>
                <w:t>Code of Ethics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174</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16C</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c_principal_accountant_fees_and">
              <w:r>
                <w:rPr>
                  <w:rStyle w:val="InternetLink"/>
                  <w:rFonts w:ascii="Times New Roman" w:hAnsi="Times New Roman"/>
                  <w:color w:val="0000FF"/>
                  <w:sz w:val="20"/>
                  <w:u w:val="single"/>
                </w:rPr>
                <w:t>Principal Accountant Fees and Services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174</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16D</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d_exemptions_from_the_listing">
              <w:r>
                <w:rPr>
                  <w:rStyle w:val="InternetLink"/>
                  <w:rFonts w:ascii="Times New Roman" w:hAnsi="Times New Roman"/>
                  <w:color w:val="0000FF"/>
                  <w:sz w:val="20"/>
                  <w:u w:val="single"/>
                </w:rPr>
                <w:t>Exemptions from the Listing Standards for Audit Committees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16E</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e_purchases_of_equity_securities">
              <w:r>
                <w:rPr>
                  <w:rStyle w:val="InternetLink"/>
                  <w:rFonts w:ascii="Times New Roman" w:hAnsi="Times New Roman"/>
                  <w:color w:val="0000FF"/>
                  <w:sz w:val="20"/>
                  <w:u w:val="single"/>
                </w:rPr>
                <w:t>Purchases of Equity Securities by the Issuer and Affiliated Purchasers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16F</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f_change_in_registrants">
              <w:r>
                <w:rPr>
                  <w:rStyle w:val="InternetLink"/>
                  <w:rFonts w:ascii="Times New Roman" w:hAnsi="Times New Roman"/>
                  <w:color w:val="0000FF"/>
                  <w:sz w:val="20"/>
                  <w:u w:val="single"/>
                </w:rPr>
                <w:t>Change in Registrant’s Certifying Accountant</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16G</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g_corporate_governance">
              <w:r>
                <w:rPr>
                  <w:rStyle w:val="InternetLink"/>
                  <w:rFonts w:ascii="Times New Roman" w:hAnsi="Times New Roman"/>
                  <w:color w:val="0000FF"/>
                  <w:sz w:val="20"/>
                  <w:u w:val="single"/>
                </w:rPr>
                <w:t>Corporate Governance</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175</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16H</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h_mine_safety_disclosure">
              <w:r>
                <w:rPr>
                  <w:rStyle w:val="InternetLink"/>
                  <w:rFonts w:ascii="Times New Roman" w:hAnsi="Times New Roman"/>
                  <w:color w:val="0000FF"/>
                  <w:sz w:val="20"/>
                  <w:u w:val="single"/>
                </w:rPr>
                <w:t>Mine Safety Disclosure</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176</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16I</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i_disclosure_regarding_foreign">
              <w:r>
                <w:rPr>
                  <w:rStyle w:val="InternetLink"/>
                  <w:rFonts w:ascii="Times New Roman" w:hAnsi="Times New Roman"/>
                  <w:color w:val="0000FF"/>
                  <w:sz w:val="20"/>
                  <w:u w:val="single"/>
                </w:rPr>
                <w:t>Disclosure Regarding Foreign Jurisdictions that Prevent Inspections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176</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16J</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j_insider_trading_policies">
              <w:r>
                <w:rPr>
                  <w:rStyle w:val="InternetLink"/>
                  <w:rFonts w:ascii="Times New Roman" w:hAnsi="Times New Roman"/>
                  <w:color w:val="0000FF"/>
                  <w:sz w:val="20"/>
                  <w:u w:val="single"/>
                </w:rPr>
                <w:t>Insider Trading Policies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176</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16K</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6k_cybersecurity">
              <w:r>
                <w:rPr>
                  <w:rStyle w:val="InternetLink"/>
                  <w:rFonts w:ascii="Times New Roman" w:hAnsi="Times New Roman"/>
                  <w:color w:val="0000FF"/>
                  <w:sz w:val="20"/>
                  <w:u w:val="single"/>
                </w:rPr>
                <w:t>Cybersecurity</w:t>
              </w:r>
            </w:hyperlink>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176</w:t>
            </w:r>
          </w:p>
        </w:tc>
      </w:tr>
      <w:tr>
        <w:trPr/>
        <w:tc>
          <w:tcPr>
            <w:tcW w:w="7397" w:type="dxa"/>
            <w:gridSpan w:val="2"/>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color w:val="0000FF"/>
                  <w:sz w:val="20"/>
                  <w:u w:val="single"/>
                </w:rPr>
                <w:t>PART III</w:t>
              </w:r>
            </w:hyperlink>
            <w:r>
              <w:rPr>
                <w:rFonts w:ascii="Times New Roman" w:hAnsi="Times New Roman"/>
                <w:color w:val="000000"/>
                <w:sz w:val="20"/>
              </w:rPr>
              <w:t xml:space="preserve"> </w:t>
            </w:r>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179</w:t>
            </w:r>
          </w:p>
        </w:tc>
      </w:tr>
      <w:tr>
        <w:trPr/>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17</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7_financial_statements">
              <w:r>
                <w:rPr>
                  <w:rStyle w:val="InternetLink"/>
                  <w:rFonts w:ascii="Times New Roman" w:hAnsi="Times New Roman"/>
                  <w:color w:val="0000FF"/>
                  <w:sz w:val="20"/>
                  <w:u w:val="single"/>
                </w:rPr>
                <w:t>Financial Statements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179</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18</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8_financial_statements">
              <w:r>
                <w:rPr>
                  <w:rStyle w:val="InternetLink"/>
                  <w:rFonts w:ascii="Times New Roman" w:hAnsi="Times New Roman"/>
                  <w:color w:val="0000FF"/>
                  <w:sz w:val="20"/>
                  <w:u w:val="single"/>
                </w:rPr>
                <w:t>Financial Statements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179</w:t>
            </w:r>
          </w:p>
        </w:tc>
      </w:tr>
      <w:tr>
        <w:trPr/>
        <w:tc>
          <w:tcPr>
            <w:tcW w:w="11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19</w:t>
            </w:r>
          </w:p>
        </w:tc>
        <w:tc>
          <w:tcPr>
            <w:tcW w:w="6286" w:type="dxa"/>
            <w:tcBorders/>
            <w:tcMar>
              <w:top w:w="0" w:type="dxa"/>
              <w:left w:w="0" w:type="dxa"/>
              <w:bottom w:w="0" w:type="dxa"/>
              <w:right w:w="0" w:type="dxa"/>
            </w:tcMar>
            <w:vAlign w:val="center"/>
          </w:tcPr>
          <w:p>
            <w:pPr>
              <w:pStyle w:val="TableContents"/>
              <w:bidi w:val="0"/>
              <w:spacing w:before="0" w:after="283"/>
              <w:jc w:val="left"/>
              <w:rPr/>
            </w:pPr>
            <w:hyperlink w:anchor="item_19_exhibits">
              <w:r>
                <w:rPr>
                  <w:rStyle w:val="InternetLink"/>
                  <w:rFonts w:ascii="Times New Roman" w:hAnsi="Times New Roman"/>
                  <w:color w:val="0000FF"/>
                  <w:sz w:val="20"/>
                  <w:u w:val="single"/>
                </w:rPr>
                <w:t>Exhibits</w:t>
              </w:r>
            </w:hyperlink>
          </w:p>
        </w:tc>
        <w:tc>
          <w:tcPr>
            <w:tcW w:w="81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II-1</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2" w:name="general"/>
      <w:bookmarkEnd w:id="2"/>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used herein, references to “we”, “us”, the “company”, “Ascendis”, or “Ascendis Pharma”, or similar terms in this annual report on Form 20-F shall mean Ascendis Pharma A/S and, as the context requires,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consolidated financial statements are presented in euros except where otherwise indicated, and are prepared in accordance with IFRS Accounting Standards (“IFRS”), as issued by the International Accounting Standards Board and as adopted by the European Union. All references in this annual report to “Dollars”, “USD” and “$” are to U.S. Dollars, and all references to “euro”, “EUR” or “€” are to European Union euro. Throughout this annual report, references to ADSs mean ADSs or ordinary shares represented by ADSs, as the case may be. </w:t>
      </w:r>
    </w:p>
    <w:p>
      <w:pPr>
        <w:pStyle w:val="TextBody"/>
        <w:bidi w:val="0"/>
        <w:spacing w:before="360" w:after="283"/>
        <w:jc w:val="left"/>
        <w:rPr>
          <w:rFonts w:ascii="Times New Roman" w:hAnsi="Times New Roman"/>
          <w:sz w:val="20"/>
        </w:rPr>
      </w:pPr>
      <w:bookmarkStart w:id="3" w:name="special_note_regarding_forward"/>
      <w:bookmarkEnd w:id="3"/>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commercial availability of our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the timing, conduct, and results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an independent therapeutic area of focus and our development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advantages of our products and product candidates over existing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collaborations and license agreements and our ability to enter into new collaborations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using our products and product candidates in combination with each other and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benefit from established data of clinically validated parent drugs or pathways to which we apply our TransCon technologies;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develop new therapies that demonstrate best-in-class potential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application of TransCon technology platform to make a meaningful difference for patients;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goals for Vision 2030;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ongoing and potential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international economic, political, legal, compliance, social and business factors, including inflation, tariffs, geopolitical conflicts and energy shortages.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(“SEC”) after the date of this annual report. We qualify all of our forward-looking statements by these cautionary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4" w:name="sum_of_mat_risks_asso_with_our_business"/>
      <w:bookmarkEnd w:id="4"/>
      <w:r>
        <w:rPr>
          <w:rFonts w:ascii="Times New Roman" w:hAnsi="Times New Roman"/>
          <w:b/>
          <w:color w:val="000000"/>
          <w:sz w:val="20"/>
        </w:rPr>
        <w:t>Summary of Material Risks Associated with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“Item 3.D - Key Information - Risk Factors” in this annual report. You should carefully consider these risks and uncertainties when investing in our ADSs. 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incur significant losses in the future, which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financing to achieve our goals, and a failure to obtain this capital if needed on acceptable terms, or at all, could force us to delay, limit, scale back or cease our commercialization activities, product development or any other or all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products and product candidates, which may not be successful in nonclinical studies or clinical trials, receive regulatory approval or be successfully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drug development involves a lengthy and expensive process with uncertain outcomes, and we may encounter substantial delays in our clinical studies. Furthermore, results of earlier studies and trials may not be predictive of results of future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efforts may not be effective and we may not be successful in our commercial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biotechnology and pharmaceutical industries is intense and our competitors may discover, develop or commercialize products faster or more successfully than us. If we are unable to compete effectively, our business, results of operations and prospects will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third-parties to manufacture preclinical, clinical and commercial supplies of our products, product candidates and their device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results may vary significantly from period to period and these variations may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parent drug, drug product and other components of our products and product candidates are currently acquired from certain single-source suppliers. The loss of these suppliers, or their failure to supply could materially and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been, and may continue to be, adversely affected by health epidemics, pandemics and other outbreaks of infectious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and regional economic, political, health, climate and other conditions and events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European Medicines Agency (“EMA”), the U.S. Food and Drug Administration (“FDA”), the European Commission (“EC”), the UK Medicines and Healthcare products Regulatory Agency (“MHRA”) and comparable authorities are lengthy, time consuming, and inherently unpredictable. If we are ultimately unable to obtain regulatory approval for our product candidates,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sued for allegedly infringing intellectual property rights of third parties, it will be costly and time consuming, and an unfavorable outcome in such litigation could harm our business.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bookmarkStart w:id="5" w:name="part_i"/>
      <w:bookmarkEnd w:id="5"/>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 w:name="item_1_identity_of_directors"/>
      <w:bookmarkEnd w:id="6"/>
      <w:r>
        <w:rPr>
          <w:rFonts w:ascii="Times New Roman" w:hAnsi="Times New Roman"/>
          <w:b/>
          <w:color w:val="000000"/>
          <w:sz w:val="20"/>
        </w:rPr>
        <w:t>Item 1 Identity of Directors, Senior Management and Advisers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7" w:name="item_2_offer_statistics_and_expected"/>
      <w:bookmarkEnd w:id="7"/>
      <w:r>
        <w:rPr>
          <w:rFonts w:ascii="Times New Roman" w:hAnsi="Times New Roman"/>
          <w:b/>
          <w:color w:val="000000"/>
          <w:sz w:val="20"/>
        </w:rPr>
        <w:t>Item 2 Offer Statistics and Expected Timetable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8" w:name="item_3_key_information"/>
      <w:bookmarkEnd w:id="8"/>
      <w:r>
        <w:rPr>
          <w:rFonts w:ascii="Times New Roman" w:hAnsi="Times New Roman"/>
          <w:b/>
          <w:color w:val="000000"/>
          <w:sz w:val="20"/>
        </w:rPr>
        <w:t>Item 3 Key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Reserved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Capitalization and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Reasons for the Offer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Risk Factors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business faces significant risks. You should carefully consider all of the information set forth in this annual report and in our other filings with the SEC, including the following risk factors which we face and which are faced by our industry. Our business, financial condition or results of operations could be materially adversely affected by any of these risks. This annual report also contains forward-looking statements that involve risks and uncertainties. Our results could materially differ from those anticipated in these forward-looking statements, as a result of certain factors including the risks described below and elsewhere in this annual report and our other materials we file or furnish with the SEC. See “Special Note Regarding Forward-Looking Statements” above.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Operations, Financial Condition and Capital Requirements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incur significant losses in the future, which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applying our innovative TransCon technology platform to build a leading, fully integrated biopharma company focused on making a meaningful difference in patients’ lives. Guided by our core values of patients, science, and passion, we use our TransCon technologies to create new and potentially best-in-class therapies. We currently have a pipeline of multiple independent endocrinology rare disease, and oncology candidates in development. We are also working to apply our TransCon technology platform in additional therapeutic areas to address unmet medical needs. On August 25, 2021, the FDA approved TransCon hGH, known by its brand name SKYTROFA and its international nonproprietary name lonapegsomatropin-tcgd in the U.S. for the treatment of pediatric patients one year and older who weigh at least 11.5 kg (25.4 lb) and have growth failure due to inadequate secretion of endogenous growth hormone, and on July 25, 2025, the FDA approved SKYTROFA for the replacement of endogenous growth hormone in adults with growth hormone deficiency (“GHD”). On August 9, 2024, the FDA approved TransCon PTH, known by its brand name YORVIPATH, for the treatment of hypoparathyroidism in adults. SKYTROFA (lonapegsomatropin) was granted marketing authorization by the EC as a once-weekly subcutaneous injection for the treatment of children and adolescents ages 3 to 18 years with growth failure due to insufficient secretion of endogenous growth hormone on January 11, 2022. In addition, in November 2023, the EC granted marketing authorization to YORVIPATH (palopegteriparatide), as a replacement therapy indicated for the treatment of adults with chronic hypoparathyroidism.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To date, we have focused substantially all of our efforts on our research and development activities relating to our products, YORVIPATH and SKYTROFA, our product candidate TransCon CNP, our product candidates in oncology and our proprietary TransCon technologies, as well as on the commercialization of YORVIPATH and SKYTROFA in the United States. We have a limited commercial operating history upon which our shareholders and ADS holders can evaluate our business and prospects. Going forward, we may incur significant losses from our operations. We had a net loss of €228 million for the year ended December 31, 2025, and a net loss of €378.1 million for the year ended December 31, 2024. Our total equity presented a deficit of €162.8 million as of December 31, 2025, compared to a deficit of €105.7 million as of December 31, 2024. The net loss we have experienced in 2025 is not necessarily indicative of our future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Apart from the FDA’s, the EC’s and MHRA’s respective approval of YORVIPATH and SKYTROFA, none of our other product candidates have been approved for commercial sale by the FDA, the EC or similar non-U.S. regulatory authorities. Our annual operating expenses may increase over the next several years as we incur additional commercialization expenses and continue our research and development expenses. Although we receive revenue from commercial product sales, we may incur substantial operating losses for the foreseeable future as we execute our operating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significantly on our TransCon technologies and TransCon products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will continue to depend significantly on our ability to successfully commercialize YORVIPATH and SKYTROFA (and any other approved products) in the U.S. and the EU, complete the research and development of our other product candidates and obtain the regulatory and marketing approvals necessary to commercialize such product candidates. Our ability to generate additional revenue from commercial product sales from SKYTROFA, YORVIPATH or other product candidates or approved products, or pursuant to milestone payments or royalties from collaboration partners depends heavily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research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additional regulatory approvals and pricing and reimbursement approvals for our products and product candidates on our own, or together with our strategic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of and entering into collaboration,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or co-promote, and/or the ability of our collaboration partners to successfully commercialize,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sustaining a scalable manufacturing process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opportunities and patient populations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products and product candidates, if approved,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in-licensing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prevent, avoid, and possibly recover from severe cyber attack(s) with impact on our intellectual property, e.g., data breach and ransomware attacks;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prevent, avoid, and possibly recover from severe geopolitical events with impact on our clinical development, manufacturing, and commercial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regulatory approvals to market one or more of our product candidates (such as the approvals we have obtained for YORVIPATH and SKYTROFA),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products or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products or product candidates, even if approved. Limitations on our ability to generate revenue from commercial product sales or pursuant to up-front or milestone payments and royalties from collaboration partners would likely depress our market value and could impair our ability to raise capital, expand our business, discover or develop other products and product candidates or continue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revenue includes provision for a variety of sales deductions such as prompt pay discounts, shelf stock adjustments and applicable sales deductions attributable to various commercial arrangements, managed healthcare organizations, government programs, and co-pay arrangement. Provisions for sales deductions attributed to commercial arrangements are recognized when the related sales take place and measured using the expected value method. Provisions for unsettled sales deductions and product returns are estimated on the basis of a percentage of sales as defined by individual agreements and contracts, and for government rebates by individual state- and plan agreements.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These estimates and assumptions are subject to material uncertainties and could result in outcomes that require a material adjustment in future periods.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additional financing to achieve our goals, and a failure to obtain this capital if needed on acceptable terms, or at all, could force us to delay, limit, scale back or cease our commercialization activities, product development or any other or all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most of our resources have been dedicated to our research and development and commercialization activities. We have funded our operations primarily through issuance of shares and convertible debt securities, royalty arrangements with third parties, and payments to us under collaboration agreements. As of December 31, 2025, we had cash and cash equivalents totaling €616 million. We believe that we will continue to expend substantial resources for the foreseeable future, including costs associated with research and development and commercialization activities. 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currently estimate that our existing cash and cash equivalents will be sufficient to fund our operations for at least the next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building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our products and any future products;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products and product candidates,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products and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the successful commercialization and co-promotion of our products and product candidates, if approved, and our efforts to develop and commercialize our other existing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opportunities and patient populations for our products and product candidates, if approved, and our ability to obtain market acceptance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purchase ADSs prior to granting rights or awards for such shares under our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holders of shares or ADSs, restrict our operations or require us to relinquish rights to our products or product candidates on unfavorable terms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variety of means, including through public or private equity, debt financings or other sources, including up-front payments and milestone payments from strategic collaborations or royalty arrangements with third parties. To the extent that we raise additional capital through the issuance of convertible debt or equity securities, the ownership interest of our shareholders and ADS holders may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products or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September 2023, we entered into a $150.0 million capped synthetic royalty funding agreement (the “SKYTROFA Agreement”), with Royalty Pharma. Under the terms of the SKYTROFA Agreement, we received an upfront payment of $150.0 million in exchange for a 9.15% royalty on net U.S. SKYTROFA revenue. In September 2024, we entered into a $150.0 million capped synthetic royalty funding agreement with Royalty Pharma (the “YORVIPATH Agreement”, and together with the SKYTROFA Agreement, the “Royalty Pharma Agreements”). Under the terms of the YORVIPATH Agreement, we received an upfront payment of $150.0 million in exchange for a 3.0% royalty on net U.S. YORVIPATH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products and product candidates, which may not be successful in nonclinical studies or clinical trials, receive regulatory approval or be successfully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invested a significant amount of our efforts and financial resources in research and development, including with respect to our proprietary TransCon technologies, and in commercialization activities. Our near-term prospects, including the extent of revenue from commercial product sales, will depend heavily on our successful development and commercialization of our products and product candidates, if approved. The clinical and commercial success of our products and product candidates and our TransCon technologies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and successful execution of our ongoing and planned clinical trials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that of any collaboration partners to establish and maintain commercial-scale manufacturing processes for our products, product candidates and device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product candidates’ safety, purity, potency, tolerability and/or efficacy profiles will be satisfactory to the EMA/EC, the FDA and similar regulatory authorities to warrant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EMA/EC, the FDA or similar regulatory authorities will require additional clinical trials prior to approving or issuing a positive opinion in order for our product candidates to be authorized, if ever;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adverse side effects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adverse events that implicate the TransCon technologies, including among any out-licensed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necessary marketing authorizations or certifications for our product candidates and associated device components from the FDA, similar regulatory authorities and notified bodies;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that of any collaboration partners to successfully commercialize our products or product candidates, if approved for marketing and sale by the FDA, the EC or similar regulatory authorities, including educating physicians and patients about the benefits, administration and use of such products;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and maintaining compliance with all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the successful commercialization and co-promotion of our products and product candidates, if approved, and our efforts to develop and commercialize our other existing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market acceptance of our products or product candidates, if approved, including by patients and the medical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market acceptance of the device components of our combination products, and of our combination product candidates, if approved, including by patients and the medical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perceived advantages, relative cost, relative safety and relative efficacy of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sustaining an adequate level of coverage and reimbursement for our products and product candidates by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and any collaboration partners’ marketing, sales and distribution strategies and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that of any collaboration partners, or any third-party manufacturer we contract with, to manufacture supplies of our products and product candidates and to develop, validate and maintain commercially viable manufacturing processes that are compliant with current good manufacturing practice (“cGMP”), or similar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intellectual property rights in and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third-party interference, opposition, derivation or similar proceedings with respect to our patent rights, and avoiding other challenges to our patent rights and patent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profiles of our products and product candidates following any potential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these factors are beyond our control, including clinical development, the regulatory submission process, potential threats to our intellectual property rights and the manufacturing, marketing and sales efforts of any collaboration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we will be able to successfully commercialize our products or that such products will be approved in additional jurisdictions, and we cannot be certain that any of our product candidates will ever be approved or successfully commercialized, or that we will ever generate revenue from sales of such product candidates. If we are not successful in completing the development of, obtaining approval for, and commercializing our product candidates, or are significantly delayed in doing so, our business will be harmed.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sales and marketing efforts may not be effective and we may not be successful in our commercial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launched SKYTROFA in 2021 and YORVIPATH in late 2024, we have limited experience successfully scaling commercial operations for multiple products simultaneously. The success of our commercialization efforts is difficult to predict and subject to the effective execution of our business plan, including, among others, the continued development of our internal sales, marketing, and distribution capabilities and our ability to navigate the significant expenses and risks involved with the development and management of such capabilities. For example, our commercial launch of YORVIPATH in the United States may not develop as planned or anticipated, which may require us to, among others, adjust or amend our business plan and incur significant expenses. Further, given our limited experience commercializing products, we do not have a long track record of successfully executing commercial launches. If we are unsuccessful in accomplishing our objectives and executing on our business plan, or if our commercialization efforts do not develop as planned, we may not be able to successfully commercialize our approved products and any future approved products, we may require significant additional capital and financial resources, we may not become profitable, and we may not be able to compete against more established companies in our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which may affect the success of our commercialization efforts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required and qualified sales and marketing personnel, including in connection with any specialty sales organization for specific products or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provide sufficient training to develop and strengthen the technical expertise of our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provide required support materials and resources to our sales personnel to help them educate physicians and healthcare providers regarding our products, including the proper administration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resources to meet and timely fulfill supply obligations to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or any collaboration partners may be required to build and/or maintain marketing, sales, distribution, managerial and other non-technical capabilities or make arrangements with third-parties to perform these services, and we or any collaboration partners may not be successful in doing so. In addition, arrangements we enter into with third-parties to market and sell our products and product candidates, if approved, in one or multiple geographies might not be successful, and we may not be able to enter into such arrangements with others on acceptable terms, or at all. To the extent that we enter into such arrangements with other companies, our revenues, if any, will depend on the terms of any such arrangements and the efforts of others. These efforts may turn out not to be sufficient. </w:t>
      </w:r>
    </w:p>
    <w:p>
      <w:pPr>
        <w:pStyle w:val="TextBody"/>
        <w:bidi w:val="0"/>
        <w:spacing w:before="360" w:after="283"/>
        <w:jc w:val="left"/>
        <w:rPr>
          <w:rFonts w:ascii="Times New Roman" w:hAnsi="Times New Roman"/>
          <w:sz w:val="20"/>
        </w:rPr>
      </w:pPr>
      <w:r>
        <w:rPr>
          <w:rFonts w:ascii="Times New Roman" w:hAnsi="Times New Roman"/>
          <w:b/>
          <w:i/>
          <w:color w:val="000000"/>
          <w:sz w:val="20"/>
        </w:rPr>
        <w:t>The acceptance and commercial success of our products and product candidates, if approved, will depend, in part, upon the degree of acceptance among physicians, patients, patient advocacy groups, third-party payors and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obtaining FDA or other regulatory approvals, our products and product candidates, if approved, may not achieve significant market acceptance among physicians, patients, patient advocacy groups, third-party payors and the medical community. The degree of market acceptance, if any, for our products for which marketing approval is obtained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purity, potency and/or efficacy of the products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overall safety profile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safety of the TransCon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features of the auto-injector or drug delivery device used to administer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is approved;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of, and acceptance by, physicians, major operators of clinics and patients of the product as a safe and effective treatment and their willingness to pay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products over current treatment options or alternative treatments, including future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supply of our products and their ability to meet market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marketing and distribution support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of our relationships with patient advocacy groups;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of government and other commercial and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products or product candidates that obtain regulatory approval do not achieve significant market acceptance or commercial success, this could harm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estimated market opportunities for our products and product candidates, if approved, are subject to numerous uncertainties and may prove to be inaccurate. If we have overestimated the size of our market opportunities, our future growth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plan is based in part on our estimated addressable markets and market opportunities for our products and product candidates, if approved, which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Such estimates, whether obtained or derived from third-party sources or developed internally, are subject to significant uncertainty and are based on assumptions and estimates that may not prove to be accurate. While we believe the market opportunity estimates underlying our business plan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involves a lengthy and expensive process with uncertain outcomes, and we may encounter substantial delays in our clinical studies. Furthermore, results of earlier studies and trials may not be predictive of results of future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product candidates, we must conduct extensive clinical studies to demonstrate the safety, purity, potency and/or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generate sufficient preclinical, toxicology, or other in vivo or in vitro 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consensus with regulatory authorities on study design or implementation of the clinical trials and/or obtain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on acceptable terms with prospective contract research organizations,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recruit and train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institutional review board (“IRB”), or ethics committee approval at each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test, release, validate or import sufficient quantities of drug product for use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 screen and enroll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that clinical sites observe trial protocol or continue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patient safety concerns that arise during the course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conflicts with new or existing laws or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or add a sufficient number of clinical trial sites.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for a product candidate, by the IRBs of the institutions in which such trials are being conducted, by an independent data safety monitoring board, for such trial or by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we are conducting, and plan to conduct, clinical trials in sites outside of the United States and the EU.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EMA/EC or the FDA may determine that the clinical trial results obtained in foreign subjects do not establish the safety, purity, potency and/or efficacy of a product candidate when administered in EU or U.S. patients, and are thus not supportive of granting of a marketing authorization application (“MAA”), in the EU or of a New Drug Application (“NDA”), or Biologics License Application (“BLA”), in the United States. As a result, the EMA or the FDA may not accept data from clinical trials conducted outside the EU or the United States, respectively, and may require that we conduct additional clinical trials or obtain additional data before we can submit an NDA or BLA in the United States or a MAA in the EU. The EMA or the FDA may even require us to conduct additional clinical trials in the EU or the United States, respectively, before we are able to submit an NDA, BLA, MAA or other marketing application for any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(“EU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EU CTR introduced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IT portal. Once the CTA is approved, clinical study development may proceed. One of the main aims of EU CTR is to increase transparency about clinical trials, which is done by making documents and data from the CTA publicly available through the Clinical Trials Information System at the time of decision about the clinical trial. There are few exceptions to this, and release of personal data and company confidential information may be controlled through redaction. The CTR transition period ended on January 31, 2025, and all clinical trials (and related applications) are now fully subject to the provisions of the CTR. Compliance with the EU CTR requirements by us and our third-party service providers, such as CROs, may impact our development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on April 28, 2025, the UK adopted an amendment to the Medicines for Human Use (Clinical Trials) Regulations 2004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slow or unable to adapt to changes in existing requirements or the adoption of new requirements or policies governing clinical trials, our development plans may be adversely impacted.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product candidates are in various stages of preclinical development and we may not be successful in our efforts to successfully develop these products or expand our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submit Investigational NDAs, CTAs or other equivalent foreign regulatory applications to regulatory authorities to begin clinical studies. Of the large number of drugs and biologics in development, only a small percentage of such drugs successfully complete the EMA/EC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pure, potent and/or effective. Our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used and our TransCon technologies may not be successful in creating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third-parties’ intellectual property rights or other types of exclusivity and we may not be able to obtain a license from such third-party or the license terms may not be acceptable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opportunity for a product candidate may change during our program or we may discover that such market opportunity was smaller than initially expected so that such a product may become financially unfeasible to continue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demonstrated to have harmful side effects or not to be effective, or otherwise not to meet other requirements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or reimbursable by third-party payors, if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By expending our limited resources to pursue particular product candidates and areas of focus we may fail to capitalize on product candidates or areas of focus that are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focused on research programs and product candidates within the endocrinology and oncology therapeutic areas. As a result, we may forego or delay pursuit of opportunities with other product candidates or in other therapeutic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third-parties to conduct our nonclinical studies and clinical trials. If these third-parties do not successfully carry out their contractual duties or meet expected deadlines, we may be unable to obtain regulatory approval for, or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the ability to independently conduct clinical trials or IND-enabling nonclinical studies. We rely on medical institutions, clinical investigators, contract laboratories, collaboration partners and other third-parties, such as CROs, to conduct clinical trials of our products and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scientific standards and legal and regulatory requirements, and our reliance on third-parties does not relieve us of our regulatory responsibilities. We and these third-parties are required to comply with current good laboratory practices (“GLPs”), for certain nonclinical studies, and good clinical practices (“GCPs”), for clinical studies. GLPs and GCPs are regulations and guidelines enforced by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or similar foreign regulations outside the United States. The failure of our contract manufacturers to comply with these regulations may require us to repeat clinical trials, which would delay the regulatory approval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products and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approved products or our product candidates could cause us or regulatory authorities to interrupt, delay or halt clinical trials and could result in a more restrictive label or the delay or denial of regulatory approval by the FDA or similar authorities. In the event that trials conducted by us or any collaboration partners, or trials we conduct with our product candidates, reveal a high and unacceptable severity and prevalence of side effects, such trials could be suspended or terminated and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we successfully develop a product candidate and it receives marketing approval,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Foreign regulatory authorities may require us to adopt similar risk management measures.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event that any of our product candidates receives regulatory approval and we or others later identify undesirable side effects caused by one of our products, a number of potentially significant negative consequences could occur,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or seize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any collaboration partners, may be required to recall the product;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any collaboration partners, may be subject to fines, 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foregoing events could prevent us, or any collaboration partners, from achieving or maintaining market acceptance of our products or product candidates, if approved, and could result in the loss of significant revenue to us, which would harm our results of operations and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markets in which we intend to compete are undergoing, and are expected to continue to undergo, rapid and significant technological changes. Some of our products and product candidates are for fields in which competitive products already exist and are established. We expect competition to intensify as technological advances are made or new drugs and biotechnology products are introduced. New developments by competitors may render our products and current or future product candidates and/or technologies non-competitive, obsolete or not economical. Our competitors’ products may be more efficacious or marketed and sold more effectively than our products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several pharmaceutical and biopharmaceutical companies that have commenced clinical studies of products or have successfully commercialized products addressing areas that we are targeting. A permanently PEGylated long-acting growth hormone (brand name Jintrolong®) developed by GeneScience Pharmaceuticals Co., Ltd. is available in China and the Somatropin Biopartners product (LB03002), is available in Korea. Novo Nordisk has received regulatory approval of once-weekly somapacitan (brand name SOGROYA®) for replacement of endogenous growth hormone in adult patients with GHD in the United States, Japan, Europe, Australia and Saudi Arabia and in pediatric patients with GHD in the United States, Japan, Europe, Canada, Brazil and Saudi Arabia. Pfizer (in collaboration with OPKO Health Inc.) has received regulatory approval of once-weekly somatrogon (brand name NGENLA) in more than 40 countries for pediatric GHD. Other experimental growth hormone therapies are in different stages of clinical development by various companies, including Genexine Inc., I-MAB, and JCR Pharmaceuticals Co., Ltd. In addition, we are aware of several academic groups and companies working on making longer-acting agonists of the PTH receptor (“PTH1R”). Other companies and groups are developing or commercializing therapies for hypoparathyroidism, including Calcilytix (a BridgeBio company), Entera Bio, Extend Biosciences, Massachusetts General Hospital, Amolyt Pharma, and MBX Biosciences. Other companies are developing therapies for achondroplasia, including BioMarin Pharmaceutical, Inc. (“BioMarin”), and QED Therapeutics (a BridgeBio company). BioMarin has received regulatory approval for vosoritide (brand name VOXZOGO®) in more than 40 active markets for the treatment of achondroplasia and is developing BMN 333, a long-acting C-type natriuretic peptide (“CNP”) for multiple growth disorders. Tyra Biosciences, Sanofi, ProLynx Inc. and Ribomic, Inc., have achondroplasia programs in various clinical stages.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companies have Interleukin 2 program under development for cancer immunotherapy including: Mural Oncology plc, Medicenna Therapeutics Corp., Anaveon AG, Xilio Therapeutics Inc, Werewolf Therapeutics Inc., Sutro Biopharma Inc. and Philogen SpA.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 technologies may achieve similar advantages.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also possible that our competitors will commercialize competing drugs or treatments before we can launch any other product candidates that are ultimately approved by regulatory authorities. We also anticipate that we will face increased competition in the future as new companies enter into our current and target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new formulation patent applications on drugs whose original patent protection is about to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an increasing number of patent applications that are more complex and costly to challenge;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suits for alleged patent infringement that automatically delay FDA or foreign regulatory authorities’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suits that challenge our marketing and promotion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patented controlled-release or other “next-generation” products, which may compete with TransCon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exclusive contracts with third-party payors;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product claims and product labeling.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of these strategies may increase the costs and risks associated with our efforts to develop and commercialize our products and product candidates and may delay or altogether prevent such development or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significantly greater name recognition, financial, marketing, research, drug portfolios,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experience in commercializing drugs, conducting preclinical testing, conducting clinical studies, obtaining regulatory approvals, challenging patents and in manufacturing and marketing 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have been approved or are in late stages of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arrangements in our target markets with leading companies and research institutions.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our products and product candidates that we successfully develop, we will face competition based on many different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effectiveness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specific circumstances relating to regulatory approvals for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cost of manufacturing, marketing and sales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marketing and sales capabilities;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amount of third-party reimbursement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convenience and ease of administration compared to alternative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our patent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proprietary TransCon technology platform includes a novel approach to extending the residence time and duration of action of a variety of drug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technology platform has been developed to improve the delivery of a variety of drug products. However, we cannot be certain that any of our other products or product candidates using our TransCon technologies will be deemed safe, pure, potent or efficacious (or that any of our products will be deemed safe, pure, potent or effective for other indications), nor that any aspects of our TransCon technologies will yield additional product candidates that could be commercially valuable. Further, our TransCon hydrogel carrier system has limited experience in humans and our drug molecules based on albumin avidity has no experience in humans. As a result, our TransCon hydrogel carriers and our albumin avidity based drug molecules, when dosed extensively in humans, may fail to perform as we expect. Failure of any of our product candidates to be successfully developed, approved and commercialized may result in our TransCon technologies being viewed as an ineffective approach to developing drug products which would harm our business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our TransCon technologies to both approved and unapproved parent drugs to extend the half-life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is unknown, and it is possible that our product candidates may have an increased risk of unforeseen reactions following extended treatment relative to other approved products. If extended treatment with our products or product candidates utilizing TransCon in our ongoing or future clinical trials results in any concerns about the safety or efficacy of our TransCon technologies, we may be unable to successfully develop or commercialize our products or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clinical data on product candidates utilizing our TransCon technologies to indicate whether they are safe or effective for long-term use in humans.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and product candidates are designed to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regarding utilizing the systemic TransCon technologies to indicate whether they are safe, pure, potent and/or effective for long-term use in humans, including the safety of any degradation products that may result after the TransCon carrier and TransCon linker are cleaved from the parent drug molecule. If treatment with any of our product candidates in our clinical trials results in concerns about their safety or efficacy, we and any collaboration partners may be unable to successfully develop or commercialize any or all of our TransCon technologies based on such product candidates or enter into collaborations with respect to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our collaboration partners to conduct certain clinical studies. For example, in November 2018, we announced the formation of VISEN Pharmaceuticals (“VISEN”), a company established to develop, manufacture, and commercialize our endocrinology rare disease therapy candidates in Greater China, which completed a Hong Kong Stock Exchange listing in 2025.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Limited, (“Teijin”), to develop and commercialize TransCon hGH, TransCon PTH and TransCon CNP for certain endocrinology rare diseases in Japan. As a further example, in January 2024, we announced the formation of Eyconis, Inc. (“Eyconis”), a separate company created to develop, manufacture, and commercialize TransCon ophthalmology assets globally, together with an investor syndicate. In connection with the formation of Eyconis, we granted Eyconis exclusive rights to develop and commercialize TransCon ophthalmology products globally and received an equity position in the newly formed company. We may also enter into collaboration agreements with other parties relating to our other product candidates and technology platform. For example, in November 2024, we entered into a research and development collaboration and license agreement with Novo Nordisk A/S (“Novo Nordisk”), pursuant to which we granted Novo Nordisk an exclusive worldwide license to our TransCon technology platform to develop, manufacture and commercialize Novo Nordisk proprietary products in metabolic diseases and a product-by-product exclusive license in cardiovascular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have the unilateral ability to choose not to develop a collaboration product or product candidate for one or more indications for which such product or product candidate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choose not to develop or commercialize our collaboration product or product candidate in certain relevant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take considerably more time in advancing our product or product candidate through the clinical and regulatory process than we currently anticipate, which could materially delay the achievement of milestones and, consequently the receipt of milestone payments or royalties from our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have substantial discretion under their respective agreements regarding how they structure their efforts and allocate resources to fulfill their obligations to diligently develop, obtain regulatory approval for and commercialize our collaboration products and product candidates;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control all or substantially all of the aspects of development and/or commercialization efforts under their respective license agreements and may change the focus of their development and/or commercialization efforts or pursue other higher-priority programs and, accordingly, reduce the efforts and resources allocated to their collaborations with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solely be responsible for or have substantially all of the responsibility related to obtaining and maintaining all regulatory approvals of our products or product candidates, and we or our collaboration partners may fail to develop a commercially viable formulation or manufacturing process for our products or product candidates, and we or our collaboration partners may fail to manufacture or supply sufficient drug substance for commercial use, if approved, which could result in lost revenue under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not comply with all applicable regulatory requirements or may fail to report safety data in accordance with all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agreements with our collaboration partners terminate, we would need to identify alternative means to continue the development, manufacture and commercialization of the affected products or product candidates, alone or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 partners may have the discretion to sublicense their rights with respect to our collaboration technology in connection with collaboration products and product candidates to one or more third-parties without our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may be pursuing alternative technologies or developing alternative products or product candidates, either on their own or in collaboration with others, that may be competitive with our technology, products or product candidates on which they are collaborating with us or which could affect our collaboration partners’ commitment to the collaboration;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may experience financial difficulties.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and amount of any milestone and royalty payments we may receive under agreements with collaboration partners and the value of any equity we own in our collaboration partners (such as the equity we own in VISEN and Eyconis) will depend on, among other things, the efforts, allocation of resources, and successful development and commercialization of our products or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a particular milestone has been achieved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and Eyconis) will maintain its value or grow in value.</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form additional strategic collaborations in the future with respect to our TransCon technology platform and proprietary programs, but we may not realize the benefits of such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strategic collaborations, create joint ventures or similar structures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to develop and commercialize TransCon hGH, TransCon PTH and TransCon CNP for certain endocrinology rare diseases in Japan. As a further example, in January 2024, we announced the formation of Eyconis, a separate company created to develop, manufacture, and commercialize TransCon ophthalmology assets globally, together with an investor syndicate.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formation of Eyconis, we granted Eyconis exclusive rights to develop and commercialize TransCon ophthalmology products globally and received an equity position in the newly formed company. Additionally, in November 2024, we announced that we signed a Exclusive License and Development Agreement with Novo Nordisk A/S for the development and commercialization of TransCon Technology-based products in the fields of metabolic and cardiovascular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to secure appropriate terms is time-consuming and complex. Any delays in identifying suitable development partners and entering into agreements to develop our products or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 parties in that market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orphan designation for some of our product candidates and we may be unsuccessful, or may be unable to maintain the benefits associated with orphan designation, including the potential for market exclusivity, for product candidates for which we obtain orphan designation.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Orphan designation must be requested before submitting a BLA or NDA in the United States or a MAA in the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drug or biologic with an orphan designation subsequently receives the first marketing approval for the indication for which it has such designation, the drug or biologic is entitled to a period of marketing exclusivity, which precludes the FDA from approving another marketing application for the same drug or biologic for the same approved indication or use within such disease or condition for a seven-year period, except in limited circumstances. If our competitors are able to obtain orphan drug exclusivity prior to us, for products that constitute the “same drug” and are approved for the same indications and uses as we intend to seek for our product candidates, we may not be able to have competing products approved by the applicable regulatory authority for a significant period of time. The applicable period is seven years in the United States. The applicable exclusivity period is ten years in the EU, but such exclusivity period can be reduced to six years if, at the end of the fifth year, a product no longer meets the criteria for orphan designation or if the product is sufficiently profitable so that market exclusivity is no longer justified.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business strategy, we intend to pursue orphan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TransCon hGH for the treatment of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October 2019, we were granted orphan designation by the EC for TransCon hGH for GHD, in July 2020, we were granted orphan designation by the EC for TransCon CNP for the treatment of achondroplasia and in October 2020, we were granted orphan designation by the EC for TransCon PTH for treatment of hypoparathyroidism. In July 2021, we were granted orphan drug designation from the Japanese Ministry of Health, Labour and Welfare for TransCon PTH. However, we may be unsuccessful in obtaining additional orphan designations, and may be unable to maintain the benefits associated with orphan designation, such as orphan drug exclusivity.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obtained orphan drug exclusivity from the FDA for YORVIPATH for the treatment of hypoparathyroidism in adults, and for SKYTROFA for the treatment of pediatric patients one year and older who weigh at least 11.5 kg and have growth failure due to inadequate secretion of endogenous GH and for the replacement of endogenous growth hormone in adults with GHD. However, even if we obtain orphan drug exclusivity for any of our product candidates, that exclusivity may not effectively protect those product candidates from competition because different drugs can be approved for the same indications and uses within the same rare disease or condition, and orphan drug exclusivity does not prevent the FDA or foreign regulatory authorities from approving the same or a different drug in another indication. Even after an orphan drug is granted orphan exclusivity and approved, the FDA or foreign regulatory authorities can subsequently approve a later application for the same drug for the same condition before the expiration of the exclusivity period if the FDA or foreign regulatory authorities conclude that the later drug is clinically superior in the relevant indication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and in foreign jurisdictions may be lost if the FDA or foreign regulatory authorities later determine that the request for designation was materially defective or if we are unable to manufacture sufficient quantities of the product to meet the needs relating to the approved indication or use of patients with the rare disease or condition. Orphan designation neither shortens the development time or regulatory review time of a drug nor gives the drug any advantage in the regulatory review or approval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Any biological product for which we have obtained approval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Although the majority of our products and product candidates are regulated by the FDA as small-molecule drugs, the FDA regulates TransCon hGH, including the commercial version we market as SKYTROFA, as a biological product, and we may develop future product candidates regulated by the FDA as biologics. 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 For example, in recent years, the FDA has sought to reduce the data required for biosimilar product sponsors to demonstrate biosimilarity to, or interchangeability with, a biologic reference product. In particular, in June 2024, the FDA published updated draft guidance entitled “</w:t>
      </w:r>
      <w:r>
        <w:rPr>
          <w:rFonts w:ascii="Times New Roman" w:hAnsi="Times New Roman"/>
          <w:i/>
          <w:color w:val="000000"/>
          <w:sz w:val="20"/>
        </w:rPr>
        <w:t>Considerations in Demonstrating Interchangeability with a Reference Product</w:t>
      </w:r>
      <w:r>
        <w:rPr>
          <w:rFonts w:ascii="Times New Roman" w:hAnsi="Times New Roman"/>
          <w:color w:val="000000"/>
          <w:sz w:val="20"/>
        </w:rPr>
        <w:t>” in which the FDA, among other things, set forth conditions under which interchangeable product sponsors could demonstrate interchangeability without conducting so-called “switching” studies. Similarly, in October 2025, the FDA published a draft guidance entitled “</w:t>
      </w:r>
      <w:r>
        <w:rPr>
          <w:rFonts w:ascii="Times New Roman" w:hAnsi="Times New Roman"/>
          <w:i/>
          <w:color w:val="000000"/>
          <w:sz w:val="20"/>
        </w:rPr>
        <w:t>Scientific Considerations in Demonstrating Biosimilarity to a Reference Product: Updated Recommendations for Assessing the Need for Comparative Efficacy Studies</w:t>
      </w:r>
      <w:r>
        <w:rPr>
          <w:rFonts w:ascii="Times New Roman" w:hAnsi="Times New Roman"/>
          <w:color w:val="000000"/>
          <w:sz w:val="20"/>
        </w:rPr>
        <w:t xml:space="preserve">” in which the FDA set forth conditions under which biosimilar product sponsors may demonstrate biosimilarity without conducting comparative efficacy studies. Although the FDA has yet to finalize these draft guidance documents, these or similar efforts may increase the risk of competition for our biologic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third-parties to manufacture preclinical, clinical, and commercial supplies of our products, product candidates and their device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facilities for manufacturing our products and product candidates. We depend on third-parties to manufacture and provide analytical services with respect to our products and product candidates and their respective device components.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produce the quantities necessary to meet anticipated market demand, we and/or any collaboration partners will need to secure sufficient manufacturing capacity with third-party manufacturers. For YORVIPATH and SKYTROFA, we believe we have secured agreements to provide for sufficient manufacturing capacity with third-party manufacturers; however, our estimates of market demand may be inaccurate and third-party manufacturers may fail to produce sufficient quantities on a timely basis or at all. If we and/or any collaboration partners are unable to produce our products and product candidates in sufficient quantities to meet the requirements for the launch of the product or to meet future demand, our revenues and gross margins would be adversely affected. To be successful, our products and product candidates must be manufactured in commercial quantities in compliance with regulatory requirements and at acceptable costs. We and/or any collaboration partners will regularly need to maintain access to facilities to manufacture commercial supplies of our products and product candidates, if approved. All of this will require additional funds and successful completion of inspection or audits and approval by the FDA, other regulatory authorities and by notified bodies with respect to the device components.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and/or any collaboration partners may encounter problems with aspects of manufacturing our products and product candidates,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yields;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quality control and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shortages of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FDA and foreign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costs; and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advanced manufacturing techniques and process controls.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evaluate our options for clinical study supplies and commercial production of our products and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products and product candidates can be manufactured under cGMP or similar foreign regulations, a requirement for all pharmaceutical products. We cannot be certain that we will be able to contract with any of these companies on acceptable terms, if at all, all of which could harm our business, results of operations and prospects, and the value of our shares or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as well as any third-party manufacturer, will be required to register such manufacturing facilities with the FDA (and have a U.S. agent for the facility, if outside the United States) and other regulatory authorities. The facilities will be subject to inspections confirming compliance with the FDA, and other regulatory authority cGMP or similar foreign requirements. We do not control the manufacturing process of our product candidates, and we are dependent on our contract manufacturing partners for compliance with cGMPs or similar regulations for manufacture of both active drug substances and finished drug products. If we or any third-party manufacturer fails to maintain regulatory compliance, our business, financial condition and results of operations may be harmed, and the FDA or other regulatory authorities can impose regulatory sanctions that range from a warning letter to withdrawal of approval to seeking product seizures, injunctions and, where appropriate, criminal prosecution. Pursuant to our agreements with VISEN, we have provided and may in the future provide, clinical supplies of our product candidates and commercial supplies of our products to VISEN for its use in clinical trials and commercialization. Pursuant to our agreements with Teijin, we may also provide Teijin with clinical supplies of our product candidates and commercial supplies of our products for Teijin’s use in future clinical trials and commercialization. In order to fulfill these supplies, we rely on third-party manufacturers over which we have no or very limited control or power. </w:t>
      </w:r>
    </w:p>
    <w:p>
      <w:pPr>
        <w:pStyle w:val="TextBody"/>
        <w:bidi w:val="0"/>
        <w:jc w:val="left"/>
        <w:rPr>
          <w:rFonts w:ascii="Times New Roman" w:hAnsi="Times New Roman"/>
          <w:color w:val="000000"/>
          <w:sz w:val="20"/>
        </w:rPr>
      </w:pPr>
      <w:r>
        <w:rPr>
          <w:rFonts w:ascii="Times New Roman" w:hAnsi="Times New Roman"/>
          <w:color w:val="000000"/>
          <w:sz w:val="20"/>
        </w:rPr>
        <w:t>We may also rely on other foreign contract research organizations (“CROs”), and contract manufacturing organizations (“CMOs”), such as WuXi Biologics.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WuXi Biologics becomes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We do business with companies in China and it is possible some of our contractual counterparties could be impacted by the legislation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contract manufacturers cannot successfully manufacture our product candidates or products that conform to our specifications and the strict regulatory requirements of the FDA or similar regulatory authorities, they will not be able to secure and/or maintain regulatory approval for the use of their manufacturing facilities for the manufacture of our products. In addition, we have no control over the ability of our contract manufacturers to maintain adequate quality control, quality assurance and qualified personnel. If the FDA or a similar regulatory authority does not approve these facilities for the manufacture of our products or product candidates or if it withdraws any such approval in the future, we may need to find alternative manufacturing facilities, which would significantly impact our ability to develop, obtain regulatory approval for or market our products or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our manufacturers to purchase from third-party suppliers the materials necessary to produce our products and product candidates. Any significant delay or discontinuation in the supply of such materials would delay commercialization and the completion of our clinical studies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limited number of suppliers for raw materials that we use to manufacture our products and product candidates, and there may be a need to identify alternate suppliers to prevent a possible disruption of the manufacture of the materials necessary to produce our products or product candidates for commercial sale and/or our clinical studies.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which relies on us for clinical supply of our product candidates, as well as Teijin, which we currently contemplate will rely on us for future clinical and commercial supplies of our product candidates, would do the same, any significant delay or discontinuity in the supply of a product candidate, or the raw material components thereof, for a clinical study due to the need to replace a third-party manufacturer could considerably delay completion of our, VISEN’s or Teijin’s clinical studies, product testing, and potential regulatory approval of our product candidates, which could harm our business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inability to obtain suppliers, including an inability to obtain, or delay in obtaining, approval of a supplier from the FDA or other regulatory authorities, would delay or prevent the clinical development and commercialization of our products and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potential product liability risks which are inherent in research and development, preclinical and clinical studies, manufacturing, marketing and use of our products and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our products and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investigations, product recalls or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or co-promote our products or product candidates.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commercial sales and use in our clinical trials in the amount of $20 million in the aggregate on our primary insurance policy and $100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continue to significantly increase the size of our organization and we may have difficulties in managing our growth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advance our products and product candidates through the development and commercialization process, we will need to expand managerial, operational, financial, sales and marketing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general and administrative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recruit, screen, retain, incentivize and integrate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internal development efforts effectively while carrying out our contractual obligations to third-parties;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build a marketing and commercial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improve our operational, legal, financial, compliance and management controls, reporting systems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significant legal, accounting and other expenses as a public company, including costs resulting from public company reporting obligations under the Securities Exchange Act of 1934, as amended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Section 404 of The Sarbanes-Oxley Act of 2002 (“Section 404”), and the related rules of the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vary significantly from period to period and these variations may be difficult to predict.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results are expected to vary significantly from period to period due to a number of factors. Many of these factors are outside of our control.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revenue from product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market opportunities and patient populations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of intellectual property litigation by third-parties or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operating costs and capital expenditures relating to the expansion of our business operations and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commencement, completion or termination of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payments to us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new products and services by us, collaboration partners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preclinical testing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for clinical studies;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and expenses associated with preclinical testing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regional and global effect of inflation;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adverse impact of multiple interest rate increases implemented by the U.S. Federal Reserve;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license fees for the right to use third-party proprietary rights,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revenues in any particular period may be lower than we anticipate and, if we are unable to reduce spending in that period, our operating results will be harmed.</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up-front, milestone and royalty payments, equity investments and financial support of new research and development candidates including increase of personnel, all of which may be substantial;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including potential indemnification claims from a potential spin-off or out-license of certain of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higher-than-expected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lower-than-expected benefits, from out-licensing or selling our technology, intellectual property or any of our subsidiaries or, from in-licensing intellectual property or purchasing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or separating the operations and personnel of any acquired or sold businesses with our existing operations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partners may take actions that we oppose;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partners might experience financial distress or become bankrupt;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or sold businesses due to changes in our senior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Royalty Pharma Agreements place restrictions on our operating and financial flexibility, and if we fail to comply with certain covenants in the Royalty Pharma Agreements, our results of operations and financial condition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and September 2024, we entered into the Royalty Pharma Agreements. The Royalty Pharma Agreements contain covenants that impose on us certain obligations with respect to payment, diligence, reporting, intellectual property, in-licenses, out-licenses and certain other actions, as well as indemnification obligations. Among other things, these covenants require us to use commercially reasonable efforts to manufacture and commercialize YORVIPATH and SKYTROFA in the United States and to develop SKYTROFA for a new indication, and limit our ability to create or incur liens or dispose of certain assets related to YORVIPATH and SKYTROFA. Compliance with these covenants may limit our flexibility in operating our business and our ability to take actions that might otherwise be advantageous to us and our stockholders. Pursuant to the Royalty Pharma Agreements, we have granted to Royalty Pharma back-up security interest in certain assets to secure our obligations under the Royalty Pharma Agreements. If we are unable to comply with our obligations, Royalty Pharma may be entitled to take possession of such assets,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Exchange rate fluctuations or abandonment of the euro currency may harm our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possible abandonment of the Euro by one or more members of the EU could harm our business in the future. Despite measures taken by the EU to provide funding to certain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 the exit of one or more EU member states from the EU or the abandonment of the Euro as a currency, are impossible to predict with certainty, and any such events could harm our business, financial condition and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United Kingdom’s withdrawal from the EU may have a negative effect on global economic conditions, financial markets and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end of the Brexit transition period on January 1, 2021, Great Britain (England, Scotland and Wales) (“GB”) has not been directly subject to EU laws, however between January 1, 2021 and December 31, 2024 and as a result of the Northern Ireland Protocol, different rules applied in Northern Ireland than in GB; broadly, Northern Ireland continued to follow the EU regulatory regime. On January 1, 2025, a new arrangement called the “Windsor Framework” came into effect and reintegrated Northern Ireland under the regulatory authority of the UK’s MHRA with respect to medicinal products. The Windsor Framework removed EU licensing processes and EU labelling and serialization requirements in relation to Northern Ireland and introduced a UK-wide licensing process for medicines. In addition, new legislation such as the EU CTR is not applicable in GB. While the EU-UK Trade and Cooperation Agreement includes the mutual recognition of Good Manufacturing Practice (“GMP”), it does not contain wholesale mutual recognition of UK and EU pharmaceutical regulations and product standards. There may be divergent local requirements in GB from the EU in the future, which may impact clinical and development activities that occur in the UK in the future. Similarly, clinical trial submissions in the UK will not be able to be bundled with those of EU member states within the EMA Clinical Trial Information System, adding further complexity, cost and potential risk to future clinical and development activity in the UK. Significant political and economic uncertainty remains about how much the relationship between the UK and EU will differ as a result of the UK’s withdrawal.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the ADSs.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associated with our international operations, including seeking and obtaining approval to commercialize our product candidates in jurisdictions outside the U.S. and EU,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extensively in international operations, which include seeking marketing approval for certain of our product candidates in foreign jurisdictions. We expect that we are or will be subject to additional risks related to entering into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drug and device approvals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drug import and export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lacking or reduced protection for intellectual property rights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policies governing the terms of foreign trade, and in particular increased trade restrictions, tariffs or taxes on imports or exports from or to countries where we manufacture or sell, or our partners sell,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reimbursement systems, and different competitive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taxes, including withholding of payroll 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resulting from work conducted by distributors;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maintaining accurate information and control over sales and activities that may fall within the purview of the Foreign Corrupt Practices Act, its books and records provisions, or its anti-bribery provisions;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originally planned to conduct the Phase 3 foresiGHt trial utilizing sites in Belarus and Russia, but instead we engaged alternative sites for the study following the outbreak of conflict in Ukraine, which adversely affected patient enrollment. In addition, the manufacture of our products and product candidates is dependent upon third-party manufacturers that are based in other parts of the world, including the United States, Europe (including the UK and Switzerland), Japan and China. This manufacturing process requires that the components used in our products and product candidates are transported long distances, through multiple countries, which increases the risk that issues in the global supply chain or other disruptions to the international marketplace could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parent drug, drug product and other components of our products and product candidates are currently acquired from certain single-source suppliers. The loss of these suppliers, or their failure to supply could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hGH drug product in vials is manufactured for use in clinical trials by Vetter Pharma Fertigung (“Vetter”), pursuant to our agreement with Vetter. TransCon hGH drug product in dual chamber cartridges for commercial and clinical use is supplied by Vetter for use in our drug delivery device made by Phillips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(“NOF”), supplies PEGs. Furthermore, NOF is responsible for coupling the TransCon linker used for TransCon hGH to methoxy PEG, under manufacturing agreements and accompanying purchase orders. Our growth hormone parent drug as well as our TransCon hGH drug substance are supplied by both Fujifilm Diosynth Biotechnologies UK Limited (“Fujifilm”), and Lonza Ltd. Our PTH as well as our TransCon PTH drug substance is supplied by Bachem, Switzerland, pursuant to our agreement with Bachem. Vetter manufactures the TransCon PTH drug product in cartridges and assembles the cartridges with a drug delivery device made by Ypsomed AG. CNP drug substance is supplied by Wacker Biotech, Germany. Our TransCon CNP drug product in vials is manufactured by Vetter pursuant to our agreement with Vetter. We do not currently have any other suppliers for the drug substance, drug product or other components of our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commercialization or development of our products and product candidates. Additionally, we may not be able to enter into supply arrangements with alternative suppliers on commercially reasonable terms or at all. A delay in the commercialization or development of our products or product candidates or having to enter into a new agreement with a different third-party on less favorable terms than we have with our current suppliers could have a material adverse impact upon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identify additional product candidates based on our 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used may not be successful in identifying potential product candidates;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develop suitable product candidates through internal research programs or otherwise, we will not be able to increase our revenues in future periods, which could harm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we are highly dependent upon Jan Møller Mikkelsen, our President and Chief Executive Officer. The loss of services of this individual could result in delays in product development and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difficulties in attracting and retaining key personnel, and if we fail to do so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the principal members of our executive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additional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information technology systems, or those of our CROs or other contractors or consultants, may fail or suffer in the event of information technology system failures, cyberattacks or deficiencies in our cybersecurity, which could result in a material disruption of our product development programs and other critical business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confidential information, including intellectual property, proprietary business information, preclinical and clinical trial data, and personal information (collectively, “Confidential Information”). It is critical that we do so in a secure manner to maintain the confidentiality and integrity of such Confidential Information.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our information technology systems and those of our CROs and other contractors and consultants are vulnerable to attack and damage from computer viruses and malware (e.g., ransomware), unauthorized access, natural disasters, terrorism, war, telecommunication and electrical failures, malfeasance by external or internal parties,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data loss or the loss of or damage to intellectual property or other proprietary information.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service providers may from time to time be subject to cyberattacks and security incidents. While we do not believe that we have experienced any significant system failure, accident or security breach to date, if such an event were to occur and cause interruptions in our and our critical third parties’ operations, it could result in a material disruption of our programs, our operations, and ultimately, our financial results. For example, the loss of clinical trial data from completed or ongoing clinical trials for our products or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products or product candidates could be delayed.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applicable privacy and security laws. 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Laws around cybersecurity are also developing, and changes in such laws may require additional compliance costs. For example, in the EU, more stringent rules around cybersecurity are being adopted, such as the NIS2 Directive, which requires in-scope entities to implement heightened cybersecurity measures and responses, including with respect to security incident handling and reporting obligations.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We maintain cyber liability insurance; however, this insurance may not be sufficient to cover the financial, legal, business or reputational losses that may result from an interruption or breach of our systems.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has been, and may continue to be, adversely affected by health epidemics, pandemics and other outbreaks of infectious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threats, such as influenza and other highly communicable diseases or viruses, outbreaks of which have from time to time occurred in various parts of the world in which we operate, could adversely impact our operations, as well as the operations of our partners and our and their respective vendors, suppliers and other business partners. Any of these public health threats and related consequences could adversely affect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future measures put in place as a result of any future epidemic, pandemic, or health crisis could cause disruptions that could severely impact our business, clinical trials and commercialization activities, including by causing delays to our clinical trials, interrupting our supply chain, restricting access to our facilities, placing restrictions on our workforce and the workforce of our partners, or delaying interactions with regulators.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future pandemic may cause further disruption to global financial markets. This may reduce our ability to access capital on favorable terms or to access capital at all. Furthermore, sustained adverse market events (such as a recession or depression) resulting from any future pandemic could materially and adversely affect our business and the price of the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any future epidemic, pandemic, or other health crisis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and regional economic, political, health, climate and other conditions and events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global or regional economic, political, health, climate and other conditions and events. A global financial crisis or global or regional political and economic instability, failure of banks, wars, terrorism, civil unrest, outbreaks of disease, and other unexpected events, such as natural disasters, internet security threats, and damage to global communication networks, could cause extreme volatility, disrupt our business and increase our costs and expenses. Business disruptions could include, among others, disruptions to clinical enrollment, clinical site availability, patient accessibility, conduct of our clinical trials and commercialization activities, as well as temporary closures of our facilities and the facilities of suppliers or manufacturers in our supply chain.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trade policies and geopolitical disputes (including as a result of China-Taiwan geo-political instability) and other international conflicts can result in tariffs, sanctions and other measures that restrict international trade, and can materially adversely affect our business, particularly if these measures occur in regions where our third-party contract manufacturers operate. Countries may also adopt measures, such as controls on imports or exports of goods, technology or data, that could adversely impact our operations and supply chain. These geopolitical risks could also adversely affect VISEN’s activities in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global credit and financial markets have experienced volatility and disruptions over the past years, including concerns about declines in consumer confidence, declines in economic growth, increases in the rate of inflation, increases in borrowing rates and changes in liquidity and credit availability, and uncertainty about economic stability, including most recently in connection with actions undertaken by the U.S. Federal Reserve Board to address inflation.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military conflict between Russia and Ukraine has increased the likelihood of supply interruptions and made it difficult to conduct business operations, including clinical trials, in the region and in nearby countries. We originally planned to conduct the Phase 3 foresiGHt trial utilizing sites in Belarus and Russia, but instead we engaged with alternative sites for the study following the outbreak of conflict in Ukraine, which adversely affected patient enrollment. Such developments could negatively impact such operations or require use to delay or suspend clinical trial activities, which may increase product development costs and harm our business.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on October 7, 2023, Hamas, an organization designated by the U.S. as a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To date, we have not experienced any material interruptions in our infrastructure, supplies, technology systems, or networks needed to support our operations as a result of the conflict between Israel and Hamas.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way to predict the progress, outcome or consequences of the military conflict in Ukraine or its impacts in Ukraine, Russia, Belarus, Europe, or the U.S, or of the conflict in the Israel-Gaza regions and any potential increases in hostilities in the Middle East. 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global climate change could result in certain types of natural disasters occurring more frequently or with more intense effects. Some of our corporate and operational functions are located in California, which has experienced severe earthquakes, droughts, fires and other natural disasters in the past. We do not have multiple-site capacity for all of our operations in the event of a business disruption. Furthermore, parties in our supply chain and our customers are similarly vulnerable to these global or regional economic, political, health, climate and other conditions and events. Global or regional economic, political, health, climate and other conditions and events could result in a variety of risks to our business, including our ability to raise capital when needed on acceptable terms, if at all. Any of the foregoing could harm our business and we cannot anticipate all of the ways in which such conditions and events could adversely impact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Regulatory and Legal Requirements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EMA, the FDA, the EC, the MHRA and comparable authorities are lengthy, time consuming, and inherently unpredictable.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testing, manufacturing, labeling, approval, selling, import, export, marketing and distribution of drug products are subject to extensive regulation by the FDA, EU legislative bodies and other regulatory authorities in the United States, the EU and other jurisdictions, which regulations differ from country to country. We are not permitted to market any drug product in the United States until we receive marketing approval from the FDA. Equally, we are not permitted to market any drug product in the EU until we receive a marketing authorization from the EC or EU member state competent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regulatory approval of an NDA, BLA or MAA, can be a lengthy, expensive and uncertain process. In addition, failure to comply with FDA and other applicable U.S., EU and foreign regulatory requirements may subject us to administrative or judicially imposed sanctions or other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regulatory approval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NDAs or BLAs, MAA, or supplements to approved NDAs or BLAs or extensions or variations to marketing authorizations.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obtaining approval to commercialize a drug or biological product candidate in the United States, the EU or other regions, we must demonstrate with substantial evidence from well-controlled clinical trials, and to the satisfaction of the EMA, the FDA or other similar regulatory authorities, that any drug product candidates are safe and effective for their intended uses, and that any biological product candidates are safe, pure and potent for their intended uses. The number of nonclinical studies and clinical trials that will be required for FDA, or EC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drug or biological product candidates to humans may produce undesirable side effects, which could interrupt, delay or halt clinical trials and result in the FDA or other regulatory authorities denying approval of a product candidate for any or all targeted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authorities is unpredictable, typically takes many years following the commencement of clinical studies, and depends upon numerous factors. The EMA/EC,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EMA, the FDA or other comparable foreign regulatory authorities may disagree with the design or implementation of our, or any collaboration partners’,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safety in the full population for which approval is sought;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EMA, the FDA or comparable foreign regulatory authorities may disagree with the interpretation of data from preclinical studies or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studies of our product candidates may not be sufficient to support the submission of an NDA or BLA, MAA, or other submission or to obtain regulatory approval in the United States, the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any collaboration partners, may be unable to demonstrate to the EMA, the FDA or comparable foreign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the manufacturing processes, test procedures and specifications, or facilities of third-party manufacturers responsible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EC’s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of the EU and the proposals may therefore be substantially revised before adoption, which is not anticipated before early 2026. The revisions may however have a significant impact on the pharmaceutical industry and our business in the long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ultimately obtain approval for any product candidate,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similar risk management measures, or may approve a product candidate with a label that does not include the labeling claims necessary or desirable for the successful commercialization of that product candidate. Any of the foregoing scenarios could harm the commercial prospects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Additional time may be required to obtain marketing authorizations for any of our product candidates that we develop as combination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9, 2024, the FDA approved YORVIPATH for the treatment of hypoparathyroidism in adults. The approved presentation for YORVIPATH includes a pen-injector device we developed with Ypsomed to facilitate patient administration of TransCon PTH. As such, the pen-injector version of TransCon PTH is regulated as a combination product by the FDA and other regulatory authorities. Combination products require coordination within the FDA and within comparable regulatory agencies for review of their drug and device components.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MAA must include – where available – the results of the assessment of the conformity of the device part with the EU Medical Devices Regulation (“EU MDR”)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MDR.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additional studies with the device which may delay the approval of the combination product.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in April 2023 the FDA issued a Complete Response Letter in response to our original NDA submission for TransCon PTH, in which the FDA cited concerns related to the manufacturing control strategy for variability of delivered dose in the TransCon PTH drug/device combination product. Although the FDA subsequently approved our NDA for YORVIPATH, there is no guarantee that we will not encounter similar challenges or delays with respect to any other combination-product development programs we may pursue.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after a regulatory approval for a product candidate, we are subject to ongoing regulatory obligations and review, which may result in significant additional expenses. Additionally, our products and product candidates, if approved, could be subject to labeling and other restrictions and we may be subject to penalties if we fail to comply with regulatory requirements or experience unanticipated problems with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governmental regulation of the development of products, including YORVIPATH and SKYTROFA in the U.S. and EU, and our other product candidates extend beyond clinical studies to approval required for their sale and monitoring of such products after sale. This regulation, approval and monitoring is the responsibility of numerous authorities in the United States, the EU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 promotion and marketing, and cGMP or similar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or similar requirements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 </w:t>
      </w:r>
    </w:p>
    <w:p>
      <w:pPr>
        <w:pStyle w:val="TextBody"/>
        <w:bidi w:val="0"/>
        <w:spacing w:before="360" w:after="283"/>
        <w:jc w:val="left"/>
        <w:rPr>
          <w:rFonts w:ascii="Times New Roman" w:hAnsi="Times New Roman"/>
          <w:sz w:val="20"/>
        </w:rPr>
      </w:pPr>
      <w:r>
        <w:rPr>
          <w:rFonts w:ascii="Times New Roman" w:hAnsi="Times New Roman"/>
          <w:color w:val="000000"/>
          <w:sz w:val="20"/>
        </w:rPr>
        <w:t>In addition, under the Federal Food, Drug, and Cosmetic Act, particular restrictions are placed on the distribution of human growth hormone products, including TransCon hGH. The distribution of product samples to physicians must also comply with the requirements of the Prescription Drug Marketing Act. Manufacturing facilities for our products remain subject to periodic inspection by regulatory authorities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 For further discussion of these laws, see “Risk Factors—</w:t>
      </w:r>
      <w:r>
        <w:rPr>
          <w:rFonts w:ascii="Times New Roman" w:hAnsi="Times New Roman"/>
          <w:i/>
          <w:color w:val="000000"/>
          <w:sz w:val="20"/>
        </w:rPr>
        <w:t>We are subject to healthcare laws, regulation and enforcement; our failure to comply with these laws could harm our results of operations and financial conditions.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report certain adverse reactions and production problems, if any, to the FDA or foreign regulatory authorities,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or foreign regulatory authority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letters, fines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revocation of existing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any of our future or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or our contract manufacturers’ operations;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foreign regulatory authorities’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the EU, once a marketing authorization is obtained, numerous post-approval requirements similar to the above ones also apply, and as in the United States, advertising and promotional activities for the product must be consistent with the approved summary of product characteristics and therefore off-label promotion of medicinal products is not permitted. Furthermore, the advertising and promotion of medicinal products is also subject to laws concerning promotion of medicinal products, interactions with physicians, misleading and comparative advertising and unfair commercial practices. Direct-to-consumer advertising of prescription medicines is also prohibited in the EU. The requirements are regulated by both EU regulations as well as national applicable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requirements relating to the manufacturing, testing, marketing and sale of pharmaceutical products are subject to periodic change. This may impact our development plans. Changes in the regulations governing us could increase costs and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staffing limitations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funding shortages, staffing limitations or similar factors hinder or prevent the FDA or other regulatory authorities from conducting their regular inspections, reviews, or other activities, such events could significantly impact the ability of the FDA or other regulatory authorities to timely review and process our regulatory submissions,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in the United States are essential for most patients to be able to afford treatments including our products and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or elsewhere will be available for our products or any products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the generic or biosimilar parent drug as substitutable and only offer to reimburse patients for the generic drug. Even if we show improved efficacy or improved convenience of administration with our products or product candidates, if approved, pricing of the existing parent drug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related parent drugs.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contract manufacturers are subject to significant regulation with respect to manufacturing our products and product candidates. The manufacturing facilities on which we rely may not continue to meet regulatory requirements or may not be able to meet supply demands.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third-parties to manufacture products employing our TransCon technologies. Components of a finished therapeutic product approved for commercial sale or used in late-stage clinical studies must be manufactured in accordance with cGMP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our products and product candidates for clinical studies or commercial sale, including our existing contract manufacturers for our products and product candidates, are subject to extensive regulation. Manufacturing facilities are subject to pre-approval and ongoing periodic inspection by the FDA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BLA, MAA or comparable regulatory filing on a timely basis and must adhere to cGMP or similar regulations enforced by the FDA and other regulatory authorities through their facilities inspection programs.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supply from one approved manufacturer is interrupted, an alternative manufacturer would need to be qualified through submission and subsequent approval of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involve hazardous materials and we and third-parties with whom we contract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effectively monitor and respond to the rapid and ongoing developments and expectations relating to environmental, social and governance matters, including related social expectations and concerns, may impose unexpected costs on us or result in reputational or other harm to us that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an increasing focus and rapid and ongoing developments and changing expectations from certain investors, customers, consumers, employees and other stakeholders concerning environmental, social and corporate governance (“ESG”) matters. Additionally, public interest and legislative pressure related to public companies’ ESG practices continue to grow, which may result in increased regulatory, social or other scrutiny on us.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the past, we have undertaken, and in future may undertake, various initiatives to improve our ESG profile or respond to stakeholder expectations; however, such initiatives entail costs and may not have the desired effect. For example, many initiatives rely on methodologies, standards, or data that are complex and evolving. Our approach to such matters also evolves, and there can be no guarantee that our approach will align with the expectations of any particular stakeholder. Stakeholder expectations vary, and in some circumstances conflict. For example, various policymakers, such as the EU and State of California, have adopted requirements for certain disclosures or other actions on climate and related ESG matters. Such requirements are not uniform, and may not be interpreted or applied uniformly, which can increase the cost and complexity of compliance, along with any other risks. Simultaneously, other stakeholders (including some policymakers) have sought to constrain companies attention to certain ESG matters.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failure or perceived failure to meet the standards set by various constituencies, or to successfully navigate competing expectations, could damage our reputation and our relationships with investors, governments, customers, employees, third parties and the communities in which we operate and expose us to increased regulatory risk, put us at a commercial disadvantage relative to our peers and materially adversely affect our business, financial condition, results of operations, ability to participate in debt and equity markets and the value of our shares or ADSs. Various of our suppliers, business partners, or other stakeholders are subject to similar expectations, which may augment or create additional risks.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or are found to have failed to comply with EU, FDA and other local regulations related to the promotion of our products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relating to the promotion of products for unapproved uses are complex and subject to substantial interpretation by the FDA and other regulatory authorities, as well as courts. For example, we are restricted from marketing YORVIPATH and SKYTROFA and any other product candidate that receives marketing approval outside of its approved labeling, also referred to as off-label promotion. However, physicians may nevertheless lawfully prescribe an approved product to their patients in a manner that is inconsistent with the approved label, which is an off-label use. The FDA or other government authorities may allege or find that our practices constitute prohibited promotion for unapproved uses. </w:t>
      </w:r>
    </w:p>
    <w:p>
      <w:pPr>
        <w:pStyle w:val="TextBody"/>
        <w:bidi w:val="0"/>
        <w:spacing w:before="240" w:after="283"/>
        <w:jc w:val="left"/>
        <w:rPr>
          <w:rFonts w:ascii="Times New Roman" w:hAnsi="Times New Roman"/>
          <w:sz w:val="20"/>
        </w:rPr>
      </w:pPr>
      <w:r>
        <w:rPr>
          <w:rFonts w:ascii="Times New Roman" w:hAnsi="Times New Roman"/>
          <w:color w:val="000000"/>
          <w:sz w:val="20"/>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 For further discussion of these laws, see “Risk Factors—</w:t>
      </w:r>
      <w:r>
        <w:rPr>
          <w:rFonts w:ascii="Times New Roman" w:hAnsi="Times New Roman"/>
          <w:i/>
          <w:color w:val="000000"/>
          <w:sz w:val="20"/>
        </w:rPr>
        <w:t>We are subject to healthcare laws, regulation and enforcement; our failure to comply with these laws could harm our results of operations and financial conditions.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CROs, consultants, vendors and collaboration partners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or similar foreign regulations, including those laws that require the reporting of true, complete and accurate information to the FDA or foreign regulatory authorities; (2) manufacturing standards; (3) U.S. federal and state fraud and abuse and other healthcare laws and regulations including foreign requirements;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global anti-corruption laws, including but not limited to the U.S. Foreign Corrupt Practices Act, and non-compliance with such laws can subject us to criminal or civil liability and harm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allegations, governmental investigations or other actions or lawsuits stemming from a failure to comply with these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such actions are instituted against us, and we are not successful in defending ourselves or asserting our rights, those actions could have a significant impact on our business,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Investigations of alleged violations can also be disruptive and cause us to incur significant legal and investigatory fees.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comply with trade compliance and economic sanctions laws and regulations of the United States and applicable international jurisdictions could materially adversely affect our reputation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Regulations related to “conflict minerals” may cause us to incur additional expenses and could limit the supply and increase the cost of certain metals used in manufacturing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2012, the SEC adopted a rule requiring disclosures of specified minerals, known as conflict minerals, that are necessary to the functionality or production of products manufactured or contracted to be manufactured by U.S.-listed companies. The conflict minerals rule requires companies annually to diligence, disclose and report whether or not such minerals originate from the Democratic Republic of Congo and/or adjoining countries of Angola, Burundi, Central African Republic, the Republic of the Congo, Rwanda, South Sudan, Tanzania, Uganda, and Zambia. The rule could affect sourcing at competitive prices and availability in sufficient quantities of certain minerals, including gold and tin, which are necessary to the functionality of our products, including our TransCon hGH auto-injector.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Due to the depth and complexity of the supply chain, we may not be able to sufficiently verify the origins of the relevant minerals used in our products through the due diligence procedures that we implement or the information that we receive from our suppliers may be inaccurate or inadequate, which may harm our reputation or subject us to SEC enforcement risks. In addition, we may encounter challenges to satisfy those customers who require that all of the components of our products be certified as conflict-free, which could place us at a competitive disadvantage if we are unable to do so.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obtain regulatory approvals in non-U.S. jurisdictions would prevent us from marketing our products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our products outside of the United States, we, or any potential partner, must obtain separate regulatory approvals and comply with numerous and varying regulatory requirements of other countries regarding safety and efficacy and governing, among other things, clinical trials and commercial sales, pricing and distribution of our products. The time required to obtain approval in other countries might differ from and be longer than that required to obtain FDA approval. The regulatory approval process in other countries may include all of the risks detailed in these “Risk Factors”, as well as other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medicinal products can only be commercialized after obtaining a marketing authorization. For additional information, see “Item 4 B. Information on the Company - Business Overview - Foreign Regulation.”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U.S. and the EU, approval procedures vary among countries and can involve additional clinical testing, and the time required to obtain approval may differ from that required to obtain FDA or EU approval. Clinical trials conducted in one country may not be accepted by regulatory authorities in other countries. Approval by the FDA, EC, or EU member state competent authorities does not ensure approval by regulatory authorities in other countries, and approval by one or more foreign regulatory authorities does not ensure approval by regulatory authorities in other foreign countries or by the FDA, EC, or EU member states competent authorities. However, a failure or delay in obtaining regulatory approval in one country may have a negative effect on the regulatory process in others. The foreign regulatory approval process may include all of the risks associated with obtaining FDA approval, EC, or EU member states competent authority. We may not be able to file for regulatory approvals or to do so on a timely basis, and even if we do file, we may not receive necessary approvals to commercialize our products in any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healthcare laws, regulation and enforcement; our failure to comply with these laws could harm our results of operations and financial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healthcare, statutory and regulatory requirements and enforcement by the U.S. federal government and the states and foreign governments in which we conduct our business. The laws that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federal criminal laws that prohibit executing a scheme to defraud any healthcare benefit program or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Physician Payments Sunshine Act, which requires certain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under statute)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federal consumer protection and unfair competition laws, which broadly regulate marketplace activities and activities that potentially harm consumers;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 equivalents of each of the above U.S. federal laws, such as anti-kickback and false claims laws which may apply to items or services reimbursed by any third-party payor, including commercial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laws that require drug manufacturers to report information related to payments and other transfers of value to physicians and other healthcare providers or marketing expenditures and pricing information;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foreign healthcare programs and imprisonment, any of which could adversely affect our ability to market our products and adversely impact our financial results.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Medicaid is a joint federal and state program administered by the states for low income and disabled beneficiaries. We participate in and have certain price reporting obligations under the Medicaid Drug Rebate Program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eligible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IRA imposes rebates under Medicare Part B and Medicare Part D that are triggered by price increases that outpace inflation. The Medicare Part D rebate, if applicable, is calculated on the basis of the AMP figures we report pursuant to the MDRP.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with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our products to be paid for with federal funds under the Medicaid and Medicare Part B programs and purchased by certain federal agencies and grantees, we also participate in the U.S. Department of Veterans Affairs(“VA”), Federal Supply Schedule (“FSS”), pricing program. As part of this program, we are required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Even when HIPAA or a state law does not apply, according to the FTC, violating consumers’ privacy rights or failing to take appropriate steps to keep consumers’ personal information secure may constitute unfair and/or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the National Security Division of the U.S. Department of Justice (the “DOJ”) issued a new rule – referred to as the “Data Security Program” (“DSP”) –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the General Data Protection Regulation (the “EU GDPR") and in the United Kingdom the United Kingdom General Data Protection Regulation and Data Protection Act 2018 (the “UK GDPR" and together with the EU GDPR, referred to as the “GDPR”), impose comprehensive data privacy compliance obligations in relation to our processing of personal data of individuals within the European Economic Area (“EEA”), including clinical trial data, or in the context of our activities within the EEA, including a principle of accountability and the obligation to demonstrate compliance through policies, procedures, training and audit, as well as regulating cross-border transfers of personal data out of the EEA and the UK. If we do not comply with our obligations under the GDPR, we could be exposed to fines under both the EU GDPR and UK GDPR of up to the greater of €20 million/ GBP 17.5 million or up to 4% of our total global annual revenue in the event of a significant breach. In addition, we may be the subject of litigation and/or adverse publicity, which could adversely affect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EC as an adequate personal data transfer mechanism - alone may not necessarily be sufficient in all circumstances and that transfers must be assessed on a case-by-case basis. In relation to such cross-border transfers of personal data,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operate our business, and could adversely affect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Relatedly, from January 1, 2021, companies have had to comply with both the GDPR and the UK GDPR, the latter regime having the ability to separately fine up to the greater of £17.5 million or 4% of global turnover.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Similar risks exist in foreign jurisdictions. We cannot determine what effect changes in regulations, statutes, legal interpretation or policies, when and if promulgated, enacted or adopted may have on our business in the future. Such changes could, among other things, require: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clinical trials to be conducted prior to obtaining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manufacturing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replacement, or discontinuance of one or more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record keeping.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products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and established annual fees and taxes on manufacturers of certain branded prescription drugs and medical devices.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provisions of the ACA. For example, on June 17, 2021, the U.S. Supreme Court dismissed a challenge on procedural grounds that argued the ACA is unconstitutional in its entirety because the “individual mandate” was repealed by Congress. Thus, the ACA will remain in effect in its current 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including reductions in Medicare payments to providers, which went into effect on April 1, 2013 and will stay in effect through 2032, with the exception of a temporary suspension from May 1, 2020 through March 31, 2022,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 Further, in March 2021, the American Rescue Plan Act of 2021 was signed into law, which, among other things, eliminated the statutory cap on drug manufacturers’ Medicaid Drug Rebate Program rebate liability effective January 1, 2024. The rebate was previously capped at 100% of the average manufacturer price for a covered outpatient drug. These new laws may result in additional reductions in Medicare and other healthcare funding and otherwise affect the prices we may obtain for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Most recently, in August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Centers for Medicare &amp; Medicaid Services (“CMS”) published the negotiated prices for the initial ten drugs, which went into effect in 2026, and the subsequent 15 drugs, which will first be effective in 2027, although the program is currently subject to legal challenges. For that and other reasons, it is currently unclear how the IRA will be effectuated, and the impact of the IRA on our business and the pharmaceutical industry cannot yet be fully determined.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IRA manufacturer discount program that replaced the coverage gap discount program as of January 1, 2025, manufacturers must give a 10% discount on Part D drugs in the initial coverage phase, and a 20% discount on Part D drugs in the so-called “catastrophic phase” (the phase after the patient incurs costs above the initial phase out-of-pocket threshold, which is $2,000 beginning in 2025). The IRA allows the 10% and 20% discounts to be phased in over time for certain drugs for “specified manufacturers.” The IRA manufacturer discounting program also increases financial obligations of Part D prescription drug plans with respect to beneficiaries in the catastrophic coverage phase. This may incentivize Part D prescription drug plans to seek greater price concessions from manufacturers in order to include their products on their formularies.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Most recently, the One Big Beautiful Bill Act (“OBBBA”), which was enacted in July 2025, imposes significant reductions in the funding of the Medicaid program. Such reductions are expected to decrease the number of persons enrolled in Medicaid and reduce the services covered by Medicaid, which could adversely affect the sales of YORVIPATH, SKYTROFA, and any other product candidate that we commercialize.</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current administration is pursuing a two-fold strategy to reduce drug costs in the U.S. While it is unclear whether and how these proposals will be implemented, the policies are likely to have a negative impact on the pharmaceutical industry and on our ability to receive adequate revenues for YORVIPATH and SKYTROFA.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current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SKYTROFA or YORVIPATH or the frequency with which our products are prescribed or used. 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products or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including TransCon hGH, our ability to set a price that we believe is fair for our products, our ability to obtain coverage and reimbursement approval for a product, our ability to generate revenues and achieve or maintain profitability, and the level of taxes that we are required to pay.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Regulation No 2021/2282 on Health Technology Assessment (“HTA”), amending Directive 2011/24/EU, was adopted.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While the Regulation entered into force in January 2022, it entered into application on January 12, 2025, with preparatory and implementation-related steps taking place in the interim. The Regulation has a phased implementation depending on the concerned products. As a first step, these new rules started applying to MAAs for a new cancer medicinal products or an advanced therapy medicinal product (“ATMP”) as of January 12, 2025. The rules will be extended to orphan medicinal products in January 2028 and will as of 2030 cover all new medicinal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Medicaid is a joint federal and state program administered by the states for low income and disabled beneficiaries. We participate in and have certain price reporting obligations under the Medicaid Drug Rebate Program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240" w:after="283"/>
        <w:jc w:val="left"/>
        <w:rPr>
          <w:rFonts w:ascii="Times New Roman" w:hAnsi="Times New Roman"/>
          <w:sz w:val="20"/>
        </w:rPr>
      </w:pPr>
      <w:r>
        <w:rPr>
          <w:rFonts w:ascii="Times New Roman" w:hAnsi="Times New Roman"/>
          <w:color w:val="000000"/>
          <w:sz w:val="20"/>
        </w:rPr>
        <w:t>The recently-enacted IRA imposes rebates under Medicare Part B and Medicare Part D that are triggered by price increases that outpace inflation (first due in 2023), as described under the risk factor “</w:t>
      </w:r>
      <w:r>
        <w:rPr>
          <w:rFonts w:ascii="Times New Roman" w:hAnsi="Times New Roman"/>
          <w:i/>
          <w:color w:val="000000"/>
          <w:sz w:val="20"/>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r>
        <w:rPr>
          <w:rFonts w:ascii="Times New Roman" w:hAnsi="Times New Roman"/>
          <w:color w:val="000000"/>
          <w:sz w:val="20"/>
        </w:rPr>
        <w:t xml:space="preserve">” above. The Medicare Part D rebate will be calculated on the basis of the AMP figures we report pursuant to the MDRP.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w:t>
        <w:noBreakHyphen/>
        <w:t>income patients. The ACA expanded the list of covered entities to include certain free</w:t>
        <w:noBreakHyphen/>
        <w:t>standing cancer hospitals, critical access hospitals, rural referral centers and sole community hospitals, but exempts “orphan drugs,”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w:t>
        <w:noBreakHyphen/>
        <w:t>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for YORVIPATH, SKYTROFA, or any product candidates, if approved, to be paid for with federal funds under the Medicaid and Medicare Part B programs and purchased by certain federal agencies and grantees, we also participate in the U.S. Department of Veterans Affairs (“VA”), Federal Supply Schedule (“FSS”), pricing program. As part of this program, we are required to make our products available for procurement on an FSS contract under which we must comply with standard government terms and conditions and charge a price that is no higher than the statutory Federal Ceiling Price (“FCP”), to four federal agencies (VA, U.S. DOD, Public Health Service, and U.S. Coast Guard). The FCP is based on the Non-Federal Average Manufacturer Price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intellectual property related to our products and product candidates is not adequate, we may not be able to compete effectively in our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 our trade secrets;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 for, obtain, maintain and enforce patents;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without infringing upon the proprietary rights of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 For additional information regarding our patents issued to us, see “Item 4 B. Information on the Company - Business Overview - Intellectual Property.” We are not aware of any challenge to our issued patents, in the United States, Europe or in any other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although we are unaware of any such defects. If we or our current licensors or licensees, or any future licensors or licensees, fail to establish, maintain or protect such patents and other intellectual property rights,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patent applications may be invalid and unenforceable. Any of these outcomes could impair our ability to prevent competition from third-parties, which may harm our business.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 2023, the European Unitary Patent system and the European Unified Patent Court (“UPC”), were successfully launched, creating a single pan-European Unitary Patent and a new European patent court for litigation involving European patents.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is a significant change to European patent practice and deciding whether to opt-in or opt-out of Unitary Patent practice entail strategic and cost considerations. It will be several years before we will understand the scope of patent rights that are recognized and the strength of patent remedies that are provided by the UPC. While we have the right to opt our patents out of the UPC over the first seven years of the court’s existence, doing so may preclude us from realizing the benefits of the UPC. We have opted our current European patents out of the UPC, but if we do not meet all of the formalities and requirements for opting our patents out of the UPC, our current or future European patents could remain under the jurisdiction of the UPC. The UPC provides our competitors with a new forum to centrally revoke our European patents, and allows for the possibility of a competitor to obtain pan-European injunctions. Such a loss of patent protection could have a material adverse impact on our business and our ability to commercialize our technology and product candidates and, resultantly, on our business, financial condition, prospects and results of operations. It is uncertain how the UPC will impact granted European patents in the biotechnology and pharmaceutical industries and our European patent applications, if issued, could be challenged in the UPC. Moreover, the decision whether to opt-in or opt-out of Unitary Patent status will require coordinating with co-applicants, if any, adding complexity to any such decision.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been granted.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one or more of our products or product candidates but that has a different composition that falls outside the scope of our patent protection. If the breadth or strength of protection provided by the patents and patent applications we hold or pursue with respect to our products or product candidates is successfully challenged, then our ability to commercialize our products or product candidates could be negatively affected, and we may face unexpected competition that could harm our business. Further, patents have a limited lifespan and patent terms may be inadequate to protect our competitive position on our product candidates for an adequate amount of time. In the United States, if all maintenance fees are paid timely, the natural expiration of a patent is generally 20 years after its first effective filing date excluding U.S. provisional patent applications. Given the amount of time required for the development, testing and regulatory review of new product candidates, patents protecting such candidates might expire before or shortly after such product candidates are commercialized. Although various extensions may be available, the life of a patent, and the protection it affords, is limited. If we encounter delays in our clinical trials, the period of time during which we could market our products or product candidates, if approved, under patent protection would be reduced. If we do not have sufficient patent life to protect our products, our business and results of operations will be adversely affected.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and other “unfriendly states” designated by Russia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future protection of our proprietary rights is uncertain. Patent protection may be unavailable or severely limited in some cases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might not have been the first to invent or the first to file the inventions covered by each of our pending patent applications and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we obtain or our in-licensed issued patents may not encompass commercially viable products or product candidates, may not provide us with any competitive advantages or may be challenged by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patents we obtain or our in-licensed issued patents may not be valid or enforceable, or the scope may be narrowed;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our current licensors or licensees, or any future licensors or licensees, fail to prosecute, maintain and enforce patent protection for our products or product candidates, our ability to develop and commercialize our products or product candidates could be harmed and we might not be able to prevent competitors from making, using, selling, importing or otherwise exploiting competing products or product candidates. This failure to properly protect the intellectual property rights relating to our products or product candidates could harm our business, financial condition and operating results. Moreover, our competitors may independently develop equivalent knowledge, methods and know-how on their own without relying on our proprietary technologies or information.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where laws provide protection, litigation or any other dispute resolution proceedings necessary to enforce and determine the scope of our proprietary rights may be costly and time-consuming, and the outcome of such litigation or dispute resolution proceedings would be uncertain. If we were to initiate legal proceedings against a third-party to enforce a patent covering one of our products or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our products or product candidates, we would lose at least part, and perhaps all, of the patent protection on such product or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 </w:t>
      </w:r>
    </w:p>
    <w:p>
      <w:pPr>
        <w:pStyle w:val="TextBody"/>
        <w:bidi w:val="0"/>
        <w:spacing w:before="360" w:after="283"/>
        <w:jc w:val="left"/>
        <w:rPr>
          <w:rFonts w:ascii="Times New Roman" w:hAnsi="Times New Roman"/>
          <w:sz w:val="20"/>
        </w:rPr>
      </w:pPr>
      <w:r>
        <w:rPr>
          <w:rFonts w:ascii="Times New Roman" w:hAnsi="Times New Roman"/>
          <w:b/>
          <w:i/>
          <w:color w:val="000000"/>
          <w:sz w:val="20"/>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or product candidates using the licensed technology. If we fail to comply with these obligations, including due to the impact of global pandemics,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products or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products or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disclosure of our trade secrets or other confidential information to third-parties, our competitive position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The failure to obtain or maintain trade secret protection could adversely affect our competitive business position.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sued for allegedly infringing intellectual property rights of third parties, it will be costly and time consuming, and an unfavorable outcome in such litigation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significantly on our ability to operate without infringing, violating or misappropriating the patents and other proprietary rights of third-parties. Our own technologies, products or product candidates may be found to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our products and product candidates. Additionally, we are aware of patents owned by BioMarin that are related to CNP variants. In particular, BioMarin owns a patent in Europe relating to CNP variants, and filed a case before the UPC related to alleged infringement against the patent. We filed an opposition in September 2022, and on October 16, 2025, the European Patent Office (“EPO”) Technical Boards of Appeal revoked the patent. As a consequence of the revocation, the UPC dismissed the infringement case on December 29, 2025. 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submitted a response to the FDA in September 2025 and do not believe that our pending NDA for TransCon CNP (navepegritide) should be impacted by the Citizen Petition. There is a risk that BioMarin will allege patent infringement in other jurisdictions and before other courts. Furthermore, BioMarin also owns a re-issue patent in the U.S. relating to CNP variants, and BioMarin has filed a complaint with the U.S. International Trade Commission related to alleged infringement of the re-issue patent, with a trial date set for April 2026. Although we believe that this patent is not infringed by us and/or is invalid, it is possible that a court or other form of tribunal would come to a different conclusion. For further details, please refer to “Item 4B. Information on the Company – Business Overview – TransCon Technologies– Achondroplasia.” We thus cannot be certain that our technologies, products and product candidates will not be found to infringe these or other existing or future patents of third-parties.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import or sale of our technologies, products or product candidates. We may not be aware of patents that have already been issued that a third-party might assert are infringed by our technologies,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also possible that patents of which we are aware, but which we do not believe are relevant to our technologies, products or product candidates, could nevertheless be found to be infringed by our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may face patent infringement claims from non-practicing entities that have no relevant product revenue and against whom our own patent portfolio may thus have no deterrent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face costly and time-consuming intellectual property litigation with the NDA holders, BLA holders and Orange Book patentees of the products in respect of which we seek to obtain FDA approval. Companies that produce branded biopharmaceutical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 could effectively block our ability to further develop and commercialize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or product candidate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may be necessary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 and enforce our patents and any future patents issuing on our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enforce or clarify the terms of the licenses we have granted or may be granted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 and enforce trade secrets, other intellectual property rights, know-how and other proprietary rights that we own or have licensed, or may license in the future;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the enforceability, scope and validity of the proprietary rights of third-parties and defend against alleged patent infringement.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As a result, we may be required to file infringement claims to stop third-party infringement or unauthorized use. This can be expensive, particularly for a company of our size, and time-consuming.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or other intellectual property litigation or other proceedings could have a material adverse effect on our ability to compete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products or product candidates or to prevent others from marketing similar products.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and scientific personnel. We may not be able, alone or with our licensors or potential collaboration partners, to prevent misappropriation of our proprietary rights, particularly in countries where the laws may not protect such rights as fully as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this kind of proceedings, there could be public announcements of the results of hearings, motions or other interim proceedings or developments or public access to related documents. If investors perceive these results to be negative, the market price for the ADSs could be significantly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the patent law in the United States and other jurisdictions could diminish the value of patents in general, thereby impairing our ability to protect our technologies, products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filed after March 16, 2013, are prosecuted, redefine prior art and provide more efficient and cost-effective avenues for competitors to challenge the validity of patents. In addition, the Leahy-Smith Act has transformed the U.S. patent system into a “first to file” system. The Leahy-Smith Act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June 1, 2023, European patent applications have the option, upon grant of a patent, of becoming a Unitary Patent which will be subject to the jurisdiction of the UPC. For additional information, see “If our intellectual property related to our products and product candidates is not adequate, we may not be able to compete effectively in our market.”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employees and patents are subject to German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over 100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various foreign patent agencies require compliance with a number of procedural, documentary, fee payment and other provisions to maintain patent applications and issued patents. Although an inadvertent lapse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U.S. government actions as a result of the U.S. Department of Government Efficiency or other executive actions to reduce the size of the U.S. government. Losing our patent rights could enable competitors to enter the market earlier than would otherwise have been the case.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secure trademark registrations for a commercial trade name for our products or product candidates in the United States or elsewhere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various trademark rights in our business, including, Ascendis, Ascendis Pharma, TransCon, YORVIPATH and SKYTROFA. Trademark applications for TransCon hGH, TransCon PTH and TransCon CNP have been filed in the U.S. as well as the EU and other countries across the globe.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other than for TransCon hGH, TransCon PTH and TransCon CNP, we have not yet registered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our trademarks are successfully challenged, we could be forced to rebrand our products, which could result in loss of brand recognition and could require us to devote resources to advertising and marketing our products under new brands. Over the long term, if we are unable to establish name recognition based on our trademarks and trade names, then we may not be able to compete effectively and our business may be adversely affected.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approved the use of SKYTROFA for TransCon hGH and YORVIPATH for TransCon PTH in the United States; however, any name we propose to use with TransCon CNP, or our other product candidates in the United States or any other country must be approved by the FDA, EMA/EC or any other relevant health authority regardless of whether we have registered it, or applied to register it, as a trademark. For example, the FDA has approved the use of YORVIPATH and SKYTROFA for certain indications in the United States and the EC has granted marketing authorizations for YORVIPATH and SKYTROFA in the EU.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enforce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are of national or regional effect, and filing, prosecuting and defending patents on our products or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and our subsequent appeals were unsuccessful. As a result,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 This could make it difficult for us to stop the infringement of our patents or the misappropriation of our other intellectual property rights in such countries. For example, many foreign countries have compulsory licensing laws under which a patent owner must grant licenses to third-parties. Consequently, we may not be able to prevent third-parties from practicing our inventions in certain countries outside the United States and many countries in Europe.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use our technologies in jurisdictions where we have not obtained patent protection to develop their own products and product candidates and, further, may export otherwise infringing products to territories where we have patent protection, if our ability to enforce our patents to stop infringing activities is inadequate.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products and product candidates may compete with our products,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and product candidates. Accordingly, our efforts to protect our intellectual property rights in such countries may be inadequate.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including know-how or trade secrets, of a third-party,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and contractors have used or disclosed such third-party intellectual property, including know-how, trade secrets or other proprietary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our products or product candidates or as a result of questions regarding co-ownership of potential joint inventions. For example, we may have inventorship disputes arise from conflicting obligations of consultants or others who are involved in developing our products or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product candidates and technologies. For example, the U.S. federal government retains certain rights in inventions produced with its financial assistance under the Patent and Trademark Law Amendments Act (“Bayh-Dole Act”), including a “nonexclusive, nontransferable, irrevocable, paid-up license” for its own benefit. The Bayh-Dole Act also provides federal agencies with “march-in rights,” which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or other organizations subject to U.S. federal funds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U.S. federal funds subject to the Bayh-Dole Act, our ability to enforce or otherwise exploit patents covering such technology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could have a material adverse effect on our competitive position, business, financial conditions, results of operations,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use artificial intelligence (“AI”) in our business, and challenges with properly managing its use, as well as uncertainty regarding the legal landscape surrounding the use of AI could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do not use AI, machine learning, or automated decision-making technologies in connection with our product development, but we use commercially available AI technologies for office and administrative functions. There are significant risks involved in utilizing AI. 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currently include inaccuracy, bias, toxicity, intellectual property infringement or misappropriation, data privacy and cybersecurity issues and data provenance disputes. In addition, litigation or government regulation related to the use of AI may also adversely impact our and others’ abilities to use AI, as well as increase the cost and complexity of doing so. Use of AI by people, including our vendors, employees, suppliers and contractors, with access to our proprietary and confidential information, including know-how, may continue to increase and may lead to the release of such information, which may impact our ability to realize the benefit of our intellectual property.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Indebtedness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$575 million principal amount of indebtedness as a result of the 2.25% Convertible Senior Notes due 2028 (“Convertible Notes”) offering. We may also incur additional indebtedness to meet future financing needs. Our indebtedness could have significant negative consequences for our shareholders and our business, results of operations, and financial condition by,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 our vulnerability to adverse economic and industry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obtain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the dedication of a substantial portion of our cash flow from operations to service our indebtedness, which will reduce the amount of cash available for other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flexibility to plan for, or react to,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diluting the interests of our existing shareholders as a result of issuing ADSs upon conversion of the Convertible Notes and the ordinary shares represented by such ADSs; and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placing us at a possible competitive disadvantage with competitors that are less leveraged than us or have better access to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raise the funds necessary to redeem the Convertible Notes for cash following a fundamental change, and our future indebtedness may limit our ability to redeem the Convertible Notes in connection with such fundamental change.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the Convertible Notes may, subject to a limited exception described in the indenture, require us to redeem their Convertible Notes following a fundamental change under the indenture at a cash fundamental change redemption price generally equal to the principal amount of the Convertible Notes to be redeemed in connection with such fundamental change, plus accrued and unpaid interest, if any. We may not have enough available cash or be able to obtain financing at the time we are required to redeem the Convertible Notes in connection with a fundamental change. In addition, applicable law, regulatory authorities and the agreements governing our other indebtedness may restrict our ability to redeem the Convertible Notes in connection with a fundamental change. Our failure to redeem Convertible Notes in connection with a fundamental change when required will constitute a default under the indenture. A default under the indenture or the fundamental change itself could also lead to a default under agreements governing our other consolidated indebtedness (if any), which may result in that other indebtedness becoming immediately payable in full. If the repayment of such other indebtedness were to be accelerated after any applicable notice or grace periods, then we may not have sufficient funds to repay that indebtedness and redeem the Convertible Notes in connection with such fundamental change.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the indenture could delay or prevent an otherwise beneficial takeover of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provisions in the Convertible Notes and the indenture could make a third party attempt to acquire us more difficult or expensive. For example, a takeover will under certain circumstances constitute a fundamental change, and the noteholders will then have the right to require us to redeem their Convertible Notes for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the ADSs or our ordinary shares may view as favorable. </w:t>
      </w:r>
    </w:p>
    <w:p>
      <w:pPr>
        <w:pStyle w:val="TextBody"/>
        <w:bidi w:val="0"/>
        <w:spacing w:before="360" w:after="283"/>
        <w:jc w:val="left"/>
        <w:rPr>
          <w:rFonts w:ascii="Times New Roman" w:hAnsi="Times New Roman"/>
          <w:sz w:val="20"/>
        </w:rPr>
      </w:pPr>
      <w:r>
        <w:rPr>
          <w:rFonts w:ascii="Times New Roman" w:hAnsi="Times New Roman"/>
          <w:b/>
          <w:i/>
          <w:color w:val="000000"/>
          <w:sz w:val="20"/>
        </w:rPr>
        <w:t>The accounting method for the Convertible Notes could adversely affect our reported financial condition and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Convertible Notes are treated as a compound financial instrument with a foreign currency financial liability component (“host”), and an embedded derivative (“derivative”) related to a written option to exchange a fixed number of our shares for a fixed amount of Convertible Notes that is denominated in a foreign currency. The derivative is not closely related to the host, because it is exposed to dissimilar risks, such as volatility from the Company’s own share price. Accordingly, the derivative is accounted for separately at fair value through profit or loss.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fair value of the host was the residual amount after separating the embedded derivative at fair value, net of transaction costs attributable to the host component. Transaction costs were allocated to the host and the derivative in proportion to the allocation of proceeds. Transaction costs attributable to the derivative were recognized immediately in the profit or loss as a financial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difference between the principal amount of the Convertible Notes and the initial fair value of the host is amortized into interest expense over the expected lifetime of the Convertible Notes using the effective interest method. As a result of this amortization, the interest expense that we expect to recognize for the Convertible Notes for accounting purposes will be greater than the cash interest payments we will pay on the Convertible Notes, which will result in lower reported income or higher reported loss. The lower reported income or higher reported loss resulting from this accounting treatment could depress the trading price of our ADSs and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derivative cannot be measured based on quoted prices in active markets, or other observable input, and accordingly, the derivative is measured by using the Black-Scholes option-pricing model, where the pricing is exposed from changes in the Company’s share price. Since the fair value is exposed to development in the Company’s share price, the profit or loss is exposed to volatility from such development, which could result in lower reported income or higher reported loss. The lower reported income or higher reported loss resulting from this accounting treatment could have a negative effect on the trading price of the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accounting method for reflecting the ordinary shares represented by ADSs underlying the Convertible Notes in our diluted earnings per share may adversely affect our reported earnings and financial condition. We expect that, under applicable accounting principles, the ordinary shares represented by ADSs underlying the Convertible Notes will be reflected in our diluted earnings per share assuming that all the Convertible Notes were converted into ADSs at the beginning of the reporting period (or, if later, the date the Convertible Notes are first issued), unless the result would be antidilutive. Accounting for the Convertible Notes in this manner may reduce our diluted earnings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Ordinary Shares and ADSs</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the ADSs may be volatile and the holders of the ADSs may not be able to resell ADSs at or above the price they paid.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the ADSs has been and could continue to be highly volatile and could be subject to wide fluctuations in response to various factors, some of which are beyond our control.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or obtain regulatory approval for our products or product candidates, or delays in commercializing or obtaining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from, or any delays in, clinical trial programs relating to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technologies to therapeutic areas other than endocrinology, including the therapeutic areas of oncology and ophthalmology;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regulatory approval or a complete response letter to our product candidates, or specific label indications or patient populations for use, or changes or delays in the regulatory review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relating to current or future collaborations or joint ventures;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therapeutic innovations or new products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regarding the parent drugs that we use in developing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authorities with respect to our clinical trials, manufacturing supply chain or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laws or regulations applicable to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adverse changes to our relationship with any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testing and clinical trials;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license or discover additional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actions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concerning our competitors or the pharmaceutical industry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achievement of expected product sales and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supply or distribution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EMA, FDA or other similar regulatory actions affecting us or our industry or other healthcare reform measures in the EU, United States or in other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financial estimates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the ADSs;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or purchases of ordinary shares and/or ADSs by us, our senior management and board members, holders of the ADSs or our shareholders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market conditions and overall fluctuations in the United States and international equity markets, including deteriorating market conditions due to investor concerns regarding inflation and hostilities between Russia and Ukraine and between Israel and Hamas;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on our business, operating results, prospects and financial condition of potential future pandemics such as COVID-19;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any of our key scientific or senior management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ADS holders do not directly hold our ordinary shares and do not have the rights of a holder of our ordinary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Danish law governs shareholder rights. Our depositary, The Bank of New York Mellon, is the holder of the ordinary shares underlying our ADSs through its custodian. The deposit agreement among us, the depositary, and all other persons directly and indirectly holding ADSs, sets out ADS holder rights as well as the rights and obligations of the depositary. In addition, our depositary charges and/or deducts certain fees to holders of the ADSs. </w:t>
      </w:r>
    </w:p>
    <w:p>
      <w:pPr>
        <w:pStyle w:val="TextBody"/>
        <w:bidi w:val="0"/>
        <w:spacing w:before="360" w:after="283"/>
        <w:jc w:val="left"/>
        <w:rPr>
          <w:rFonts w:ascii="Times New Roman" w:hAnsi="Times New Roman"/>
          <w:sz w:val="20"/>
        </w:rPr>
      </w:pPr>
      <w:r>
        <w:rPr>
          <w:rFonts w:ascii="Times New Roman" w:hAnsi="Times New Roman"/>
          <w:b/>
          <w:i/>
          <w:color w:val="000000"/>
          <w:sz w:val="20"/>
        </w:rPr>
        <w:t>ADS holders may not be able to exercise their right to vote the ordinary shares underlying their 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we may not request the depositary to distribute this information which could effectively limit the ability of ADS holders to direct voting of the ordinary shares underlying their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 </w:t>
      </w:r>
    </w:p>
    <w:p>
      <w:pPr>
        <w:pStyle w:val="TextBody"/>
        <w:bidi w:val="0"/>
        <w:spacing w:before="360" w:after="283"/>
        <w:jc w:val="left"/>
        <w:rPr>
          <w:rFonts w:ascii="Times New Roman" w:hAnsi="Times New Roman"/>
          <w:sz w:val="20"/>
        </w:rPr>
      </w:pPr>
      <w:r>
        <w:rPr>
          <w:rFonts w:ascii="Times New Roman" w:hAnsi="Times New Roman"/>
          <w:b/>
          <w:i/>
          <w:color w:val="000000"/>
          <w:sz w:val="20"/>
        </w:rPr>
        <w:t>An ADS holder may be subject to limitations on the transfer of their ADSs and the withdrawal of the underlying ordinary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ADSs, which may be evidenced by American Depositary Receipts,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issue shares or ADSs in future financings, shareholders or holders of ADSs may experience immediate dilution and, as a result, the price of our ADSs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or ADSs at a discount from the trading price of the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shares, ADSs or ordinary shares. If we issue shares or securities convertible into shares of our share capital, our ordinary shareholders and holders of ADSs would experience additional dilution and, as a result, the price of the ADSs may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Holders of ADSs and shareholders may experience future dilution as a result of exercise or conversion of warrants, RSUs, PSUs and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approximately 11.6 million ordinary shares that are subject to outstanding warrants, RSUs, PSUs, convertible notes or reserved for future issuance under our warrant incentive program are eligible for sale in the public market to the extent permitted by the provisions of various vesting schedules and the terms of our convertible notes. Exercise or conversion of warrants and convertible notes may take place at a price below the market price of the ADSs at the time of exercise and may therefore result in dilution of the value of the ADSs. In addition, to the extent that RSUs or PSUs settle into ADSs, we would also issue to the holders of such RSUs or PSUs ADSs held by us.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our ordinary shares or ADSs in the public market could cause the price of the ADSs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shareholders or holders of ADSs sell, or indicate an intention to sell, substantial amounts of our ordinary shares or ADSs representing our ordinary shares in the public market, the trading price of the ADSs could decline. If our outstanding warrants are exercised or ADSs subject to restricted stock units and performance stock units vest and settle, additional ordinary shares or ADSs may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shareholders and senior management own a significant percentage of our shares and are able to exert significant control over matters subject to shareholder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senior management, board members, holders of 5% or more of our share capital and their respective affiliates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 </w:t>
      </w:r>
    </w:p>
    <w:p>
      <w:pPr>
        <w:pStyle w:val="TextBody"/>
        <w:bidi w:val="0"/>
        <w:spacing w:before="360" w:after="283"/>
        <w:jc w:val="left"/>
        <w:rPr>
          <w:rFonts w:ascii="Times New Roman" w:hAnsi="Times New Roman"/>
          <w:sz w:val="20"/>
        </w:rPr>
      </w:pPr>
      <w:r>
        <w:rPr>
          <w:rFonts w:ascii="Times New Roman" w:hAnsi="Times New Roman"/>
          <w:b/>
          <w:i/>
          <w:color w:val="000000"/>
          <w:sz w:val="20"/>
        </w:rPr>
        <w:t>The rights of our shareholders may be different from the rights of shareholders in companies governed by the laws of U.S.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of U.S. civil liabilities may not be enforceable against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Danish courts are likely to deny the recognition and enforcement of punitive damages or other awards. Moreover, a Danish court may reduce the amount of damages granted by a U.S. court and recognize damages only to the extent that they are necessary to compensate for actual losses or damages. Enforcement and recognition of judgements of U.S. courts in Denmark are solely governed by the provisions of the Danish Administration of Justice Act.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foreign private issuer, we are not subject to U.S. proxy rules and are not subject to certain Exchange Act reporting obligations that, to some extent, are more lenient and less frequent than those of a U.S. domestic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imposing liability on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the ADS may not have the same protections afforded to shareholders of companies that are not foreign private issuers.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status as a “foreign private issuer” allows us to adopt IFRS accounting principles, which are different from accounting principles under U.S. Generally Accepted Accounting Principles (“US GAAP”).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and presented our consolidated financial statements in accordance with IFRS as issued by the International Accounting Standards Board and as adopted by the EU.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As a foreign private issuer and as permitted by the listing requirements of the Nasdaq Global Select Market, we rely on certain home country governance practices rather than the corporate governance requirements of The Nasdaq Global Select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foreign private issuer,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the ADSs may not have the same protections afforded to shareholders of companies that are subject to these Nasdaq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lose our foreign private issuer status, which would then require us to comply with the Exchange Act’s domestic reporting regime and cause us to incur significant legal, accounting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qualify as a foreign private issuer and therefore we are not required to comply with all of the periodic disclosure and current reporting requirements of the Exchange Act applicable to U.S. domestic issuers. We may no longer be a foreign private issuer as of June 30, 2026, which would require us to comply with all of the periodic disclosure and current reporting requirements of the Exchange Act applicable to U.S. domestic issuers as of January 1, 2027.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 (ii) 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rules and regulations could also make it more difficult for us to attract and retain qualified members of our board of directors and members of our senior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Danish corporate law, except in certain limited circumstances (which require as a minimum that a proposal for inspection has been supported by a minimum of 25% of share capital),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 or management liability under limited circumstances. In addition, a majority of our shareholders may release a board member or manager from any claim of liability we may have, including if such board member or manager has acted in bad faith or has breached his or 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distribution of dividends from Danish companies to foreign companies and individuals may be subject to non-refundable withholding tax, which may not be creditable or deductible under the tax laws of the country in which the recipient shareholder is resident for tax purposes.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Further, repurchases of ordinary shares or ADSs by Ascendis Pharma A/S may have adverse tax consequences to us or shareholders under applicable Danish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Holders of our ordinary shares or ADSs may not be able to exercise their pre-emptive subscription rights and may suffer dilution of their equity holding in the event of future issuances of our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holding of ADSs of such shareholders or ADS holders may be materially diluted in the event shares or ADSs are issued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 Issuance of shares at a discount to market price in a directed offering without pre-emptive rights for existing shareholders or holders of ADSs requires approval from the shareholders with 90% of the votes cast and the share capital represented at the general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ordinary shares or ADSs, the price of the ADSs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the ADSs may be influenced by the research and reports that industry or securities analysts publish regarding us or our business. If any analysts issue an adverse or misleading opinion regarding us, our business model, our intellectual property or performance of the ADSs, or if our commercial sales, clinical trials or operating results fail to meet the expectations of analysts, the price of the ADSs may decline. If one or more of these analysts cease coverage of us or fail to publish reports on us regularly, we could lose visibility in the financial markets, which in turn could cause the price of the ADSs or trading volume to decline.</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a “passive foreign investment company” for U.S. federal income tax purposes for our current taxable year and future taxable years, which could result in adverse U.S. federal income tax consequences to U.S.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Internal Revenue Code of 1986, as amended (“Code”), and U.S. Treasury Regulations, the determination of passive foreign investment company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2025. However, this is a factual determination, and the application of the PFIC rules is subject to uncertainty in several respects, and we cannot assure you we will not be a PFIC for any taxable year. A non-U.S. corporation will be considered a PFIC for any taxable year if, after the application of certain look-through rules, either (1) at least 75% of its gross income for such taxable year is passive income (as defined in the relevant provisions of the Code) or (2) 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“Item 10 E. Additional Information – Taxation – 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2025,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In addition, because the value of our assets, including unbooked goodwill, for purposes of the asset test will generally be determined by reference to the market price of the ADSs, our PFIC status will depend in large part on the market price of the ADSs, which may fluctuate significantly. For these reasons, we cannot assure you we will not be a PFIC for any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U.S. Holder is strongly urged to consult its tax advisor regarding these issues. See “Item 10 E. Additional Information – Taxation – Material U.S. Federal Income Tax Consequences to U.S. 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If a United States person is treated as owning at least 10% of our ordinary shares or ADSs, such holder may be subject to adverse U.S. federal income tax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U.S. Holder (as defined in “Item 10 E. Additional Information – Taxation – Material U.S. Federal Income Tax Consequences to U.S. Holders”) is treated as owning (directly, indirectly or constructively) at least 10% of the value or voting power of our ordinary shares or ADSs,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for our taxable years beginning before January 1, 2026. However, due to the legislative change in the attribution rules enacted in the OBBBA, signed into law on July 4, 2025, and effective for taxable years beginning January 1, 2026, our non-U.S. subsidiaries no longer will be treated as “controlled foreign corporations” solely due to the fact that our group includes one or more U.S. subsidiaries. For the years preceding 2026,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for the years preceding 2026. Further, we cannot provide any assurances that we will furnish to any “United States shareholders” information that may be necessary to comply with the aforementioned reporting and tax payment obligations.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Holders should consult their tax advisors regarding the potential application of these rules to their investment in our ordinary shares or ADSs.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adversely affected by changes in tax laws and regulations and the interpretation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tax liabilities could be adversely affected by several factors, including changing tax laws, regulations and treaties, or the interpretation thereof; tax policy initiatives and reforms implemented or under consideration; the practices of tax authorities in jurisdictions in which we operate; and the resolution of issues arising from tax audits or examinations and any related interest or penalties. For example, legislation has been enacted or is currently under consideration in a number of jurisdictions to adopt and implement Pillar Two of the base erosion and profit shifting (“BEPS”) project initiated by the Organization for Economic Cooperation and Development (“OECD”), which is designed to introduce a global minimum tax rate of 15% for certain multinational groups. In December 2021 and March 2022, the OECD published model rules and related commentary to support member jurisdictions of the G20/OECD Inclusive Framework on BEPS (including Denmark) to implement the Pillar Two framework. Denmark has transposed the rule into its tax legislation effective January 1, 2024. We are not subject to Pillar II rules until the consolidated turnover of Ascendis Pharma exceeds €750 million and certain other conditions are met. The ultimate impact of any such changes on our tax obligations remains uncertain and will continue to be monitored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predict what tax reforms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its consolidated statements of operations and comprehensive loss, and otherwise affect the future results of operations, cash flows in a particular period and overall or effective tax rates in the future in countries where we have operations, reduce post-tax returns to shareholders and increase the complexity, burden and cost of tax compliance.</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4_information_on_the_company"/>
      <w:bookmarkEnd w:id="9"/>
      <w:r>
        <w:rPr>
          <w:rFonts w:ascii="Times New Roman" w:hAnsi="Times New Roman"/>
          <w:b/>
          <w:color w:val="000000"/>
          <w:sz w:val="20"/>
        </w:rPr>
        <w:t>Item 4 Information on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History and Development of the Company </w:t>
      </w:r>
    </w:p>
    <w:p>
      <w:pPr>
        <w:pStyle w:val="TextBody"/>
        <w:bidi w:val="0"/>
        <w:spacing w:before="120" w:after="283"/>
        <w:jc w:val="left"/>
        <w:rPr>
          <w:rFonts w:ascii="Times New Roman" w:hAnsi="Times New Roman"/>
          <w:sz w:val="20"/>
        </w:rPr>
      </w:pPr>
      <w:r>
        <w:rPr>
          <w:rFonts w:ascii="Times New Roman" w:hAnsi="Times New Roman"/>
          <w:color w:val="000000"/>
          <w:sz w:val="20"/>
        </w:rPr>
        <w:t>We were organized under the laws of the Kingdom of Denmark in September 2006 as a private limited liability company (</w:t>
      </w:r>
      <w:r>
        <w:rPr>
          <w:rFonts w:ascii="Times New Roman" w:hAnsi="Times New Roman"/>
          <w:i/>
          <w:color w:val="000000"/>
          <w:sz w:val="20"/>
        </w:rPr>
        <w:t>Anpartsselskab</w:t>
      </w:r>
      <w:r>
        <w:rPr>
          <w:rFonts w:ascii="Times New Roman" w:hAnsi="Times New Roman"/>
          <w:color w:val="000000"/>
          <w:sz w:val="20"/>
        </w:rPr>
        <w:t>, or ApS) and then transformed into a public limited liability company (</w:t>
      </w:r>
      <w:r>
        <w:rPr>
          <w:rFonts w:ascii="Times New Roman" w:hAnsi="Times New Roman"/>
          <w:i/>
          <w:color w:val="000000"/>
          <w:sz w:val="20"/>
        </w:rPr>
        <w:t>Aktieselskab</w:t>
      </w:r>
      <w:r>
        <w:rPr>
          <w:rFonts w:ascii="Times New Roman" w:hAnsi="Times New Roman"/>
          <w:color w:val="000000"/>
          <w:sz w:val="20"/>
        </w:rPr>
        <w:t xml:space="preserve">,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registered office and principal executive offices are located at Tuborg Boulevard 12, DK-2900 Hellerup, Denmark and our telephone number is +45 70 22 22 44. Our agent for service of process in the United States is Ascendis Pharma, Inc., located at 1000 Page Mill Road. Palo Alto, CA 94304. Our corporate website address is www.ascendispharma.com. The information on, or that can be accessed through, our website is not part of and should not be incorporated by reference into this annual report or any other report we file or furnish to the U.S. Securities and Exchange Commission (“SEC”). We have included our website address as an inactive textual reference only. Our ADSs are traded on The Nasdaq Global Select Market under the symbol “ASND.”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 maintains an internet site at www.sec.gov that contains reports, proxy and information statements, and other information regarding issuers that file electronically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information relating to the development of our company, see “Item 4 B. Information on the Company – Business Overview.” For additional information relating to the Company’s capital expenditures, see “Item 5 A. Operating and Financial Review and Prospects—Operating Results.”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Overview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TransCon-based therapies that demonstrate best-in-class potential to address unmet medical needs. Our portfolio of Endocrinology Rare Disease approved products and product candidates addresses hypoparathyroidism and growth disorders. To create additional value, we have established partnerships to develop and bring to market TransCon-based products in large therapeutic areas, including Metabolic and Cardiovascular diseases and Ophthalmology.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&gt;€5B for TransCon PTH, TransCon hGH, and TransCon CNP through worldwide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product candidates leverage clinically validated parent drugs or pathways, with the goal of optimizing safety, efficacy, tolerability, and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our TransCon technologies using our algorithm for product innovation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360" w:after="120"/>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jc w:val="left"/>
        <w:rPr/>
      </w:pPr>
      <w:r>
        <w:rPr/>
        <w:drawing>
          <wp:inline distT="0" distB="0" distL="0" distR="0">
            <wp:extent cx="59436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4287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Ascendis Approach to Patient Centric Drug Design</w:t>
      </w:r>
    </w:p>
    <w:p>
      <w:pPr>
        <w:pStyle w:val="TextBody"/>
        <w:bidi w:val="0"/>
        <w:jc w:val="left"/>
        <w:rPr/>
      </w:pPr>
      <w:r>
        <w:rPr/>
        <w:drawing>
          <wp:inline distT="0" distB="0" distL="0" distR="0">
            <wp:extent cx="5943600" cy="2143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1431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When the indication is identified we make use of patient centric drug design to optimally apply our TransCon technologies to address the unmet medical need.</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have two marketed products and a diversified portfolio consisting of four product candidates in clinical development in the areas of Endocrinology Rare Disease and Oncology. One of the four product candidates, TransCon CNP (navepegritide), is currently under review in the United States and European Union for the treatment of children with achondroplasia. Additionally, we are working to apply our TransCon technology platform in additional therapeutic areas such as metabolic diseases, where we believe we have designed a potentially best-in-class, once-monthly glucagon-like peptide 1 (“GLP-1”)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YORVIPATH® (palopegteriparatide), was developed as TransCon PTH and was approved by the U.S. Food &amp; Drug Administration (“FDA”), and authorized by the European Commission (“EC”) and other regulatory agencies for the treatment of adults with hypoparathyroidism. In the European Union (“EU”), YORVIPATH is commercially available for prescription in Germany, Austria, Spain and Luxembourg and is also available in other countries through named patient programs. In the United States, YORVIPATH has been commercially available for prescription since December 2024. In Japan, YORVIPATH has been commercially available for prescription since November 2025, through our partner Teijin Limited (“Teijin”). YORVIPATH has also been authorized by other regulatory authorities globally. Through December 31, 2025, more than 5,300 unique patients have been prescribed YORVIPATH by nearly 2,400 prescribing healthcare providers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SKYTROFA® (lonapegsomatropin-tcgd) was developed as TransCon hGH and approved by the FDA for the treatment of pediatric patients one year and older who weigh at least 11.5 kg and have growth failure due to inadequate secretion of endogenous growth hormone, also known as growth hormone deficiency (“GHD”) and for the replacement of endogenous growth hormone in adults with GHD. SKYTROFA has been commercially available for prescription in the United States since October 2021. In addition, the EC has authorized SKYTROFA (lonapegsomatropin) in the EU for the treatment of children and adolescents (3 – 18 years) with growth failure due to GHD. In the EU, SKYTROFA has been commercially available for prescription in Germany since September 2023. SKYTROFA has also been authorized by other regulatory authorities globally including in China through our strategic collaboration partner, VISEN Pharmaceuticals (“VISEN”) in January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 xml:space="preserve">Two product candidates in our Endocrinology Rare Disease portfolio are currently in development for additional indications and geographies. These product candidates are TransCon hGH (lonapegsomatropin) for children with Turner syndrome and TransCon CNP (navepegritide) for infants, children, and adolescents with achondroplasia. We are also investigating the combination of TransCon CNP and TransCon hGH in children with achondroplasia and other indications. In addition, we are investigating TransCon hGH in other established daily growth hormone indications and TransCon CNP, alone and in combination with TransCon hGH, for the treatment of children with hypochondroplasia, a related FGFR3-driven skeletal dysplasia. Through our strategic collaboration, Teijin is developing and, if approved, plans to commercialize TransCon hGH, and TransCon CNP for endocrinology rare diseases in Japan. In addition, VISEN is developing and, if approved, plans to commercialize TransCon PTH, and TransCon CNP for endocrinology rare diseases in the People’s Republic of China, Hong Kong, Macau, and Taiwan (“Greater China”).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w:t>
      </w:r>
      <w:r>
        <w:rPr>
          <w:rFonts w:ascii="Symbol;serif" w:hAnsi="Symbol;serif"/>
          <w:color w:val="000000"/>
          <w:sz w:val="20"/>
        </w:rPr>
        <w:t xml:space="preserve">b/g </w:t>
      </w:r>
      <w:r>
        <w:rPr>
          <w:rFonts w:ascii="Times New Roman" w:hAnsi="Times New Roman"/>
          <w:color w:val="000000"/>
          <w:sz w:val="20"/>
        </w:rPr>
        <w:t xml:space="preserve">(onvapegleukin alfa) for systemic delivery, which is designed for prolonged exposure to an IL-2 variant that selectively activates IL-2 </w:t>
      </w:r>
      <w:r>
        <w:rPr>
          <w:rFonts w:ascii="Symbol;serif" w:hAnsi="Symbol;serif"/>
          <w:color w:val="000000"/>
          <w:sz w:val="20"/>
        </w:rPr>
        <w:t>b/g</w:t>
      </w:r>
      <w:r>
        <w:rPr>
          <w:color w:val="000000"/>
        </w:rPr>
        <w:t xml:space="preserve"> </w:t>
      </w:r>
      <w:r>
        <w:rPr>
          <w:rFonts w:ascii="Times New Roman" w:hAnsi="Times New Roman"/>
          <w:color w:val="000000"/>
          <w:sz w:val="20"/>
        </w:rPr>
        <w:t xml:space="preserve">with minimal binding to IL-2Rα. During the fourth quarter of 2024, we closed enrollment in our BelieveIT-201 clinical trial and to dose expansion cohorts involving TransCon TLR7/8 Agonist in the transcendIT-101 and IL-Believe trials to prioritize our efforts on TransCon IL-2 </w:t>
      </w:r>
      <w:r>
        <w:rPr>
          <w:rFonts w:ascii="Symbol;serif" w:hAnsi="Symbol;serif"/>
          <w:color w:val="000000"/>
          <w:sz w:val="20"/>
        </w:rPr>
        <w:t>b/g.</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TransCon CNP, or any of our other product candidates.</w:t>
      </w:r>
    </w:p>
    <w:p>
      <w:pPr>
        <w:pStyle w:val="TextBody"/>
        <w:bidi w:val="0"/>
        <w:jc w:val="left"/>
        <w:rPr/>
      </w:pPr>
      <w:r>
        <w:rPr/>
        <w:drawing>
          <wp:inline distT="0" distB="0" distL="0" distR="0">
            <wp:extent cx="5943600" cy="3543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543300"/>
                    </a:xfrm>
                    <a:prstGeom prst="rect">
                      <a:avLst/>
                    </a:prstGeom>
                  </pic:spPr>
                </pic:pic>
              </a:graphicData>
            </a:graphic>
          </wp:inline>
        </w:drawing>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Note: The above chart lists our current clinical interventional trials related to the disclosed indication. Other ongoing clinical or observational studies not expected to directly support regulatory submissions are not disclosed.</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ApproaCH Trial (NCT05598320). Priority Review granted by U.S. FDA, PDUFA goal date February 28,</w:t>
      </w:r>
      <w:r>
        <w:rPr>
          <w:color w:val="000000"/>
        </w:rPr>
        <w:t xml:space="preserve"> </w:t>
      </w:r>
      <w:r>
        <w:rPr>
          <w:rFonts w:ascii="Times New Roman" w:hAnsi="Times New Roman"/>
          <w:i/>
          <w:color w:val="000000"/>
          <w:sz w:val="20"/>
        </w:rPr>
        <w:t xml:space="preserve">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AttaCH Trial (NCT05929807). Includes patients from ACcomplisH and ApproaCH.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HighLiGHts Trial (NCT07221851).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PaTHway60 Trial (NCT07081997).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Adolescent Trial (NCT05203198).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teACH Trial (NCT06732895).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Hypochondroplasia Monotherapy Trial (NCT pending).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COACH Trial (NCT06433557).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Trial Protocol filed (NCT pending).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Hypochondroplasia Combination Trial (NCT pending).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 Trial (NCT05387070).</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 Trial (NCT05246033).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ApproaCH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465 granted patents and over 625 patent applications as of December 31, 2025,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or product candidates, TransCon hGH, TransCon PTH, TransCon CNP, and each of our other product candidates are new molecular entities and therefore eligible to be granted new intellectual property rights, including new composition of matter patents.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products, where approved, to address patients’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we have established an integrated organization to commercialize our approved Endocrinology Rare Disease products, YORVIPATH and SKYTROFA. Our U.S. organization includes various departments, including sales, market access, patient support, and medical affairs teams. The sales team engages with healthcare providers to present products, usage, and safety guidelines in accordance with the label. Our market access team engages with health authorities, insurance companies, and payers to support patients in need of gaining access to our products. Our patient support team facilitates reimbursement support and out-of-pocket assistance and provides educational resources and product training. Our medical affairs team engages in scientific exchange with the physician and medical community. We have also established a network of specialty pharmacies to support product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we have established our presence by building integrated organizations to commercialize our approved Endocrinology Rare Disease products in select countries, which we call “Europe Direct.” Our Europe Direct country clusters include DACH (Germany, Austria, and Switzerland), France &amp; BeNeLux (Belgium, the Netherlands, and Luxembourg), Iberia (Portugal and Spain), Italy, Nordics (Denmark, Norway, Sweden, Iceland, and Finland), and the United Kingdom &amp;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products through exclusive sales and distribution agreements with geographic market leaders, which we call “International Markets.” As of December 31, 2025, we have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Endocrinology Rare Disease products commercially available in China and Japan under exclusive license agreements with partners with local development and commercialization expertise and infrastructure, which we call strategic collaborations. In Japan, Teijin has exclusive license rights to develop and commercialize TransCon hGH, TransCon PTH, and TransCon CNP. In Greater China, VISEN has exclusive license rights to develop and commercialize TransCon hGH, TransCon PTH, and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Demand for our products has not been subject to material seasonal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2025, an executive order was issued in the United States implementing “Reciprocal Tariffs” on most U.S. trading partners, with a 10% baseline tariff on imports from most trading partners and an additional individualized reciprocal tariff on countries with larger trade deficits. After a series of pauses in implementation, on August 7, 2025, these tariffs went into effect. Some goods will not initially be subject to the Reciprocal Tariffs, including pharmaceuticals. While there can be no assurance that pharmaceuticals will remain free from Reciprocal Tariffs or other trade barriers in the future, we currently believe the impact of the Reciprocal Tariffs on our operations will be immaterial. As the Reciprocal Tariffs remain subject to ongoing scrutiny, including ongoing review by the Supreme Court of the United States, we continue to monitor and assess the possible impacts of existing and potential tariffs on our operations.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TransCon prodrugs can have up to three components: a parent drug, an inert TransCon carrier that protects it, and a TransCon linker that temporarily binds the two. When bound in prodrug form, the carrier inactivates the parent drug and shields it from receptor uptake, renal clearance, and enzymatic degradation. When injected into the body, physiologic pH and temperature conditions initiate sustained release of the active, unmodified parent drug at a predictable rate.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jc w:val="left"/>
        <w:rPr/>
      </w:pPr>
      <w:r>
        <w:rPr/>
        <w:drawing>
          <wp:inline distT="0" distB="0" distL="0" distR="0">
            <wp:extent cx="5943600" cy="2209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2098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266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2266950"/>
                    </a:xfrm>
                    <a:prstGeom prst="rect">
                      <a:avLst/>
                    </a:prstGeom>
                  </pic:spPr>
                </pic:pic>
              </a:graphicData>
            </a:graphic>
          </wp:inline>
        </w:drawing>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pStyle w:val="TextBody"/>
        <w:bidi w:val="0"/>
        <w:jc w:val="center"/>
        <w:rPr/>
      </w:pPr>
      <w:r>
        <w:rPr/>
        <w:drawing>
          <wp:inline distT="0" distB="0" distL="0" distR="0">
            <wp:extent cx="4438650" cy="1619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38650" cy="16192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Parent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two approved products and generate a pipeline of product candidates designed to address significant unmet medical needs.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Products and Product Candidates - Endocrinology Rare Disease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 of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Hypoparathyroidism is a rare endocrine disease caused by insufficient levels of parathyroid hormone (“PTH”). As reported in a 2016 paper by Clarke BL, et al. (J Clin Endocrinol Metab. 2016 Jun;101(6):2284-99),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by Hadker et al. (Endocrine Pr. 20(7), 671–679), 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by Brod et al. (Qual of Life Res. 2021 Jan; 30(1):277-291), in interviews conducted on 42 individuals with hypoparathyroidism, 98% reported reduced functioning and well-being, including anxiety (81%), feeling sad or depressed (62%), and feeling irritable or short-tempered (43%) despite management with conventional therapy.</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According to a retrospective review (Chen K, et al. </w:t>
      </w:r>
      <w:r>
        <w:rPr>
          <w:rFonts w:ascii="Times New Roman" w:hAnsi="Times New Roman"/>
          <w:i/>
          <w:color w:val="000000"/>
          <w:sz w:val="20"/>
        </w:rPr>
        <w:t>J Med Econ</w:t>
      </w:r>
      <w:r>
        <w:rPr>
          <w:rFonts w:ascii="Times New Roman" w:hAnsi="Times New Roman"/>
          <w:color w:val="000000"/>
          <w:sz w:val="20"/>
        </w:rPr>
        <w:t>. Nov 2019;22(11):1141-1152),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240" w:after="283"/>
        <w:jc w:val="left"/>
        <w:rPr>
          <w:rFonts w:ascii="Times New Roman" w:hAnsi="Times New Roman"/>
          <w:sz w:val="20"/>
        </w:rPr>
      </w:pPr>
      <w:r>
        <w:rPr>
          <w:rFonts w:ascii="Times New Roman" w:hAnsi="Times New Roman"/>
          <w:color w:val="000000"/>
          <w:sz w:val="20"/>
        </w:rPr>
        <w:t>In 2015, Takeda’s NATPARA</w:t>
      </w:r>
      <w:r>
        <w:rPr>
          <w:rFonts w:ascii="Times New Roman" w:hAnsi="Times New Roman"/>
          <w:color w:val="000000"/>
          <w:sz w:val="13"/>
        </w:rPr>
        <w:t xml:space="preserve">® </w:t>
      </w:r>
      <w:r>
        <w:rPr>
          <w:rFonts w:ascii="Times New Roman" w:hAnsi="Times New Roman"/>
          <w:color w:val="000000"/>
          <w:sz w:val="20"/>
        </w:rPr>
        <w:t>(parathyroid hormone)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would discontinue manufacturing NATPARA/NATPAR globally by the end of 2024. In December 2025, Takeda announced that the NATPARA Special Use Program would permanently close on December 31, 2025, after which no patients would have access to NATPARA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companies and groups are developing therapies for hypoparathyroidism at the clinical stage, including Calcilytix (a BridgeBio company), Entera Bio/Opko Health, Extend Biosciences, AstraZeneca, MBX Biosciences, and Septerna.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hypoparathyroidism affects more than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more than 100,000 patients in the rest of Europe.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 for the Treatment of 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Teijin announced that YORVIPATH is commercially available for prescription.</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FDA approved YORVIPATH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we announced commercial availability of YORVIPATH in Germany and Austria, and we began shipping to customers in February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TransCon PTH received regulatory approval in the EU and European Economic Area and is marketed as YORVIPATH (palopegteriparatide), a parathyroid hormone replacement therapy indicated for the treatment of adults with chronic hypoparathyroidism. In addition, YORVIPATH was granted Orphan status in the EU in November 2023 and provides ten years of market exclusivity.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2021, the Ministry of Health, Labour and Welfare in Japan granted Orphan Drug Designation (“ODD”) to TransCon PTH for the treatment of hypoparathyroidism.</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Treatment of Hypoparathyroidism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was evaluated for the treatment of hypoparathyroidism in adults in the Phase 3 PaTHway Trial, Phase 3 PaTHway Japan Trial (open label extension ongoing), and the Phase 2 PaTH Forward Trial.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PaTHway Trial completed with 73 of 82 patients originally enrolled and dosed completing the 3.5-year trial. Nine patients withdrew from the trial for reasons unrelated to safety.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PaTH Forward Trial recently completed with 56 patients out of 59 patients originally enrolled and dosed completing the five-year trial. Three patients withdrew from the trial for reasons unrelated to safety or efficacy of the study drug.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November 2025, we presented a new pooled analysis showing sustained and clinically meaningful improvements in renal function in adults with hypoparathyroidism treated with TransCon PTH (palopegteriparatide) through Year 3 of our Phase 2 PaTH Forward and Phase 3 PaTHway trials.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43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4384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color w:val="000000"/>
          <w:sz w:val="20"/>
        </w:rPr>
        <w:t>The trials included a combined 141 adults with hypoparathyroidism, 139 of whom (mean age 49 years) are represented in the pooled analysis. The PaTH Forward and PaTHway trials comprised randomized, double-blind, placebo-controlled periods through Weeks 4 and 26 and open-label extension periods through Weeks 266 and 182, respectively. An eGFR ≥30 mL/min/1.73 m</w:t>
      </w:r>
      <w:r>
        <w:rPr>
          <w:rFonts w:ascii="Times New Roman" w:hAnsi="Times New Roman"/>
          <w:color w:val="000000"/>
          <w:sz w:val="13"/>
        </w:rPr>
        <w:t>2</w:t>
      </w:r>
      <w:r>
        <w:rPr>
          <w:rFonts w:ascii="Times New Roman" w:hAnsi="Times New Roman"/>
          <w:color w:val="000000"/>
          <w:sz w:val="20"/>
        </w:rPr>
        <w:t xml:space="preserve"> was required for trial eligibility. The three-year data were analyzed post-hoc and included evaluation of the long-term impact of TransCon PTH on renal function as assessed by eGFR. Mean (SD) baseline eGFR in the trials was 69 (17) mL/min/1.73 m</w:t>
      </w:r>
      <w:r>
        <w:rPr>
          <w:rFonts w:ascii="Times New Roman" w:hAnsi="Times New Roman"/>
          <w:color w:val="000000"/>
          <w:sz w:val="13"/>
        </w:rPr>
        <w:t>2</w:t>
      </w:r>
      <w:r>
        <w:rPr>
          <w:rFonts w:ascii="Times New Roman" w:hAnsi="Times New Roman"/>
          <w:color w:val="000000"/>
          <w:sz w:val="20"/>
        </w:rPr>
        <w:t>. The pooled analysis included 41 patients with baseline eGFR &lt;60 mL/min/1.73 m</w:t>
      </w:r>
      <w:r>
        <w:rPr>
          <w:rFonts w:ascii="Times New Roman" w:hAnsi="Times New Roman"/>
          <w:color w:val="000000"/>
          <w:sz w:val="13"/>
        </w:rPr>
        <w:t>2</w:t>
      </w:r>
      <w:r>
        <w:rPr>
          <w:rFonts w:ascii="Times New Roman" w:hAnsi="Times New Roman"/>
          <w:color w:val="000000"/>
          <w:sz w:val="20"/>
        </w:rPr>
        <w:t xml:space="preserve"> and 98 patients with baseline ≥60 mL/min/1.73 m</w:t>
      </w:r>
      <w:r>
        <w:rPr>
          <w:rFonts w:ascii="Times New Roman" w:hAnsi="Times New Roman"/>
          <w:color w:val="000000"/>
          <w:sz w:val="13"/>
        </w:rPr>
        <w:t>2</w:t>
      </w:r>
      <w:r>
        <w:rPr>
          <w:rFonts w:ascii="Times New Roman" w:hAnsi="Times New Roman"/>
          <w:color w:val="000000"/>
          <w:sz w:val="20"/>
        </w:rPr>
        <w:t>. Safety assessments included 24-hour urine calcium excretion and treatment-emergent adverse events (TEAEs).</w:t>
      </w:r>
    </w:p>
    <w:p>
      <w:pPr>
        <w:pStyle w:val="TextBody"/>
        <w:bidi w:val="0"/>
        <w:spacing w:before="240" w:after="283"/>
        <w:jc w:val="left"/>
        <w:rPr>
          <w:rFonts w:ascii="Times New Roman" w:hAnsi="Times New Roman"/>
          <w:sz w:val="20"/>
        </w:rPr>
      </w:pPr>
      <w:r>
        <w:rPr>
          <w:rFonts w:ascii="Times New Roman" w:hAnsi="Times New Roman"/>
          <w:color w:val="000000"/>
          <w:sz w:val="20"/>
        </w:rPr>
        <w:t>At Year 3, ≥91% of patients receiving palopegteriparatide in both trials were independent from conventional therapy (defined as taking no active vitamin D and ≤600 mg/day of calcium) and ≥84% patients had normocalcemia (8.3-10.6 mg/dL). Sustained and clinically meaningful improvements in eGFR (≥5 mL/ min / 1.73 m</w:t>
      </w:r>
      <w:r>
        <w:rPr>
          <w:rFonts w:ascii="Times New Roman" w:hAnsi="Times New Roman"/>
          <w:color w:val="000000"/>
          <w:sz w:val="13"/>
        </w:rPr>
        <w:t>2</w:t>
      </w:r>
      <w:r>
        <w:rPr>
          <w:rFonts w:ascii="Times New Roman" w:hAnsi="Times New Roman"/>
          <w:color w:val="000000"/>
          <w:sz w:val="20"/>
        </w:rPr>
        <w:t>) were observed in 70.3%, with numerically greater improvements observed in those with lower baseline eGFR. The greatest increases in eGFR were observed in the first 6 months of treatment with TransCon PTH, with a continued upward trend thereafter. Mean (SD) eGFR increased from baseline to Year 3 by 9.8 (10.9) mL/min/1.73 m</w:t>
      </w:r>
      <w:r>
        <w:rPr>
          <w:rFonts w:ascii="Times New Roman" w:hAnsi="Times New Roman"/>
          <w:color w:val="000000"/>
          <w:sz w:val="13"/>
        </w:rPr>
        <w:t xml:space="preserve">2 </w:t>
      </w:r>
      <w:r>
        <w:rPr>
          <w:rFonts w:ascii="Times New Roman" w:hAnsi="Times New Roman"/>
          <w:color w:val="000000"/>
          <w:sz w:val="20"/>
        </w:rPr>
        <w:t>in PaTH Forward and by 8.8 (11.9) mL/min/1.73 m</w:t>
      </w:r>
      <w:r>
        <w:rPr>
          <w:rFonts w:ascii="Times New Roman" w:hAnsi="Times New Roman"/>
          <w:color w:val="000000"/>
          <w:sz w:val="13"/>
        </w:rPr>
        <w:t>2</w:t>
      </w:r>
      <w:r>
        <w:rPr>
          <w:rFonts w:ascii="Times New Roman" w:hAnsi="Times New Roman"/>
          <w:color w:val="000000"/>
          <w:sz w:val="20"/>
        </w:rPr>
        <w:t xml:space="preserve"> in PaTHway.</w:t>
      </w:r>
    </w:p>
    <w:p>
      <w:pPr>
        <w:pStyle w:val="TextBody"/>
        <w:bidi w:val="0"/>
        <w:spacing w:before="240" w:after="283"/>
        <w:jc w:val="left"/>
        <w:rPr>
          <w:rFonts w:ascii="Times New Roman" w:hAnsi="Times New Roman"/>
          <w:sz w:val="20"/>
        </w:rPr>
      </w:pPr>
      <w:r>
        <w:rPr>
          <w:rFonts w:ascii="Times New Roman" w:hAnsi="Times New Roman"/>
          <w:color w:val="000000"/>
          <w:sz w:val="20"/>
        </w:rPr>
        <w:t>In July 2025, we announced new data from Week 156 of our Phase 3 PaTHway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156, 64 patients (88%) had normal albumin-adjusted serum calcium levels and 70 patients (96%) were independent from conventional therapy (defined as taking ≤ 600 mg/day of calcium and not taking active vitamin D). Reflecting clinically meaningful improvements in kidney function, improvements in eGFR from baseline were sustained through Week 156: mean eGFR increased by 8.76 mL/min/1.73 m</w:t>
      </w:r>
      <w:r>
        <w:rPr>
          <w:rFonts w:ascii="Times New Roman" w:hAnsi="Times New Roman"/>
          <w:color w:val="000000"/>
          <w:sz w:val="13"/>
        </w:rPr>
        <w:t xml:space="preserve">2 </w:t>
      </w:r>
      <w:r>
        <w:rPr>
          <w:rFonts w:ascii="Times New Roman" w:hAnsi="Times New Roman"/>
          <w:color w:val="000000"/>
          <w:sz w:val="20"/>
        </w:rPr>
        <w:t>across all participants and by 13.98 mL/min/1.73 m</w:t>
      </w:r>
      <w:r>
        <w:rPr>
          <w:rFonts w:ascii="Times New Roman" w:hAnsi="Times New Roman"/>
          <w:color w:val="000000"/>
          <w:sz w:val="13"/>
        </w:rPr>
        <w:t>2</w:t>
      </w:r>
      <w:r>
        <w:rPr>
          <w:rFonts w:ascii="Times New Roman" w:hAnsi="Times New Roman"/>
          <w:color w:val="000000"/>
          <w:sz w:val="20"/>
        </w:rPr>
        <w:t xml:space="preserve"> in participants with baseline eGFR &lt; 60. Patients in the trial reported continued improvements from baseline in their hypoparathyroidism-related symptoms and health-related QOL and showed continued normalization of 24-hour urine calcium excretion through Week 156. In the trial, TransCon PTH treatment was generally well-tolerated, with no new safety signals identified. TEAEs were mostly mild or moderate and no serious TEAEs or discontinuations were related to study drug.</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May 2025, we announced four-year (Week 214) results from our Phase 2 PaTH Forward Trial showing that long-term treatment with TransCon PTH (palopegteriparatide) continued to provide a durable response in adults with hypoparathyroidism.</w:t>
      </w:r>
      <w:r>
        <w:rPr>
          <w:rFonts w:ascii="Times New Roman" w:hAnsi="Times New Roman"/>
          <w:color w:val="58595B"/>
          <w:sz w:val="20"/>
        </w:rPr>
        <w:t xml:space="preserve"> </w:t>
      </w:r>
      <w:r>
        <w:rPr>
          <w:rFonts w:ascii="Times New Roman" w:hAnsi="Times New Roman"/>
          <w:color w:val="000000"/>
          <w:sz w:val="20"/>
        </w:rPr>
        <w:t>At Week 214, nearly all patients (98%) continued to have normal albumin-adjusted serum calcium levels and 93% remained independent from conventional therapy (defined as taking ≤ 600 mg/day of calcium and not taking active vitamin D). Bone turnover markers CTx and P1NP increased from the low end of normal at baseline, peaked by Week 26, then declined and remained stable above baseline levels through Week 214. The data also showed continued improvement in skeletal dynamics, with bone mineral density remaining within age- and sex-matched norms. In addition, at Week 214, most participants (67.8%) had a clinically meaningful (≥ 5 mL/min/1.73 m</w:t>
      </w:r>
      <w:r>
        <w:rPr>
          <w:rFonts w:ascii="Times New Roman" w:hAnsi="Times New Roman"/>
          <w:color w:val="000000"/>
          <w:sz w:val="13"/>
        </w:rPr>
        <w:t>2</w:t>
      </w:r>
      <w:r>
        <w:rPr>
          <w:rFonts w:ascii="Times New Roman" w:hAnsi="Times New Roman"/>
          <w:color w:val="000000"/>
          <w:sz w:val="20"/>
        </w:rPr>
        <w:t>) increase in eGFR from baseline, with changes in eGFR evident at Week 4. In the trial, TransCon PTH treatment was generally well-tolerated, with no new safety signals identified. TEAEs were mostly mild or moderate and no serious TEAEs or discontinuations were related to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results from the Phase 2 PaTH Forward Trial of adults with hypoparathyroidism showing that long-term treatment with TransCon PTH (palopegteriparatide; marketed as YORVIPATH) through Week 162 drove bone remodeling into the normal range. Deficiency of PTH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w:t>
      </w:r>
    </w:p>
    <w:p>
      <w:pPr>
        <w:pStyle w:val="TextBody"/>
        <w:bidi w:val="0"/>
        <w:spacing w:before="240" w:after="120"/>
        <w:jc w:val="left"/>
        <w:rPr>
          <w:rFonts w:ascii="Times New Roman" w:hAnsi="Times New Roman"/>
          <w:sz w:val="20"/>
        </w:rPr>
      </w:pPr>
      <w:r>
        <w:rPr>
          <w:rFonts w:ascii="Times New Roman" w:hAnsi="Times New Roman"/>
          <w:color w:val="000000"/>
          <w:sz w:val="20"/>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 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hAnsi="Times New Roman"/>
          <w:color w:val="000000"/>
          <w:sz w:val="13"/>
        </w:rPr>
        <w:t xml:space="preserve">2 </w:t>
      </w:r>
      <w:r>
        <w:rPr>
          <w:rFonts w:ascii="Times New Roman" w:hAnsi="Times New Roman"/>
          <w:color w:val="000000"/>
          <w:sz w:val="20"/>
        </w:rPr>
        <w:t>(p&lt;0.0001) from baseline at Week 52, sustained at Week 104 with a mean change from baseline of 9.0 mL/min/1.73m</w:t>
      </w:r>
      <w:r>
        <w:rPr>
          <w:rFonts w:ascii="Times New Roman" w:hAnsi="Times New Roman"/>
          <w:color w:val="000000"/>
          <w:sz w:val="13"/>
        </w:rPr>
        <w:t>2</w:t>
      </w:r>
      <w:r>
        <w:rPr>
          <w:rFonts w:ascii="Times New Roman" w:hAnsi="Times New Roman"/>
          <w:color w:val="000000"/>
          <w:sz w:val="20"/>
        </w:rPr>
        <w:t xml:space="preserve"> (p&lt;0.0001). Treatment was generally well-tolerated, with no new safety signals.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The open-label extension (“OLE”) of this trial has been extended, and all patients have transitioned into the Investigational Medical Product supply period designed to ensure continuous treatment through the launch of YORVIPATH in Japan. In November 2025, Teijin announced that YORVIPATH is commercially available for prescription.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Disorders</w:t>
      </w:r>
    </w:p>
    <w:p>
      <w:pPr>
        <w:pStyle w:val="TextBody"/>
        <w:bidi w:val="0"/>
        <w:spacing w:before="120" w:after="283"/>
        <w:jc w:val="left"/>
        <w:rPr>
          <w:rFonts w:ascii="Times New Roman" w:hAnsi="Times New Roman"/>
          <w:sz w:val="20"/>
        </w:rPr>
      </w:pPr>
      <w:r>
        <w:rPr>
          <w:rFonts w:ascii="Times New Roman" w:hAnsi="Times New Roman"/>
          <w:b/>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GHD is a serious rare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sz w:val="20"/>
        </w:rPr>
      </w:pPr>
      <w:r>
        <w:rPr>
          <w:rFonts w:ascii="Times New Roman" w:hAnsi="Times New Roman"/>
          <w:color w:val="000000"/>
          <w:sz w:val="20"/>
        </w:rPr>
        <w:t>Despite the demonstrated benefits of daily hGH therapy, many GHD patients are not adequately treated, and adherence continues to be a challenge, as reported in a 2021 paper published by Kaplowitz et al. (</w:t>
      </w:r>
      <w:r>
        <w:rPr>
          <w:rFonts w:ascii="Times New Roman" w:hAnsi="Times New Roman"/>
          <w:i/>
          <w:color w:val="000000"/>
          <w:sz w:val="20"/>
        </w:rPr>
        <w:t>J Manag Care Spec Pharm.</w:t>
      </w:r>
      <w:r>
        <w:rPr>
          <w:rFonts w:ascii="Times New Roman" w:hAnsi="Times New Roman"/>
          <w:color w:val="000000"/>
          <w:sz w:val="20"/>
        </w:rPr>
        <w:t xml:space="preserve"> 2021; 27(8):1118-1128). The observational retrospective cohort analysis utilized administrative claims data from two databases on more than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240" w:after="283"/>
        <w:jc w:val="left"/>
        <w:rPr>
          <w:rFonts w:ascii="Times New Roman" w:hAnsi="Times New Roman"/>
          <w:sz w:val="20"/>
        </w:rPr>
      </w:pPr>
      <w:r>
        <w:rPr>
          <w:rFonts w:ascii="Times New Roman" w:hAnsi="Times New Roman"/>
          <w:color w:val="000000"/>
          <w:sz w:val="20"/>
        </w:rPr>
        <w:t>For adult patients with GHD, underdiagnosis and undertreatment are also a concern. Untreated adult GHD patients can experience reduced quality of life and increased risk of morbidity and mortality. In a retrospective observational study by Hoffman et al. (</w:t>
      </w:r>
      <w:r>
        <w:rPr>
          <w:rFonts w:ascii="Times New Roman" w:hAnsi="Times New Roman"/>
          <w:i/>
          <w:color w:val="000000"/>
          <w:sz w:val="20"/>
        </w:rPr>
        <w:t xml:space="preserve">Advances in Therapy, 2025; </w:t>
      </w:r>
      <w:r>
        <w:rPr>
          <w:rFonts w:ascii="Times New Roman" w:hAnsi="Times New Roman"/>
          <w:color w:val="000000"/>
          <w:sz w:val="20"/>
        </w:rPr>
        <w:t>42(6):2853–2873) which analyzed electronic health records in the U.S. to identify patients with a high likelihood of adult GHD, 54,310 patients were identified as at risk for adult GHD, of which, only 3.1% were treated with growth hormone.</w:t>
      </w:r>
    </w:p>
    <w:p>
      <w:pPr>
        <w:pStyle w:val="TextBody"/>
        <w:bidi w:val="0"/>
        <w:spacing w:before="240" w:after="283"/>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 xml:space="preserve">® </w:t>
      </w:r>
      <w:r>
        <w:rPr>
          <w:rFonts w:ascii="Times New Roman" w:hAnsi="Times New Roman"/>
          <w:color w:val="000000"/>
          <w:sz w:val="20"/>
        </w:rPr>
        <w:t>(Pfizer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 xml:space="preserve">® </w:t>
      </w:r>
      <w:r>
        <w:rPr>
          <w:rFonts w:ascii="Times New Roman" w:hAnsi="Times New Roman"/>
          <w:color w:val="000000"/>
          <w:sz w:val="20"/>
        </w:rPr>
        <w:t xml:space="preserve">(Sandoz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Unmodified somatropin</w:t>
      </w:r>
      <w:r>
        <w:rPr>
          <w:rFonts w:ascii="Times New Roman" w:hAnsi="Times New Roman"/>
          <w:color w:val="000000"/>
          <w:sz w:val="20"/>
        </w:rPr>
        <w:t>: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Permanent modification of growth hormone</w:t>
      </w:r>
      <w:r>
        <w:rPr>
          <w:rFonts w:ascii="Times New Roman" w:hAnsi="Times New Roman"/>
          <w:color w:val="000000"/>
          <w:sz w:val="20"/>
        </w:rPr>
        <w:t xml:space="preserv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in adult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JCR Pharmaceuticals Co., Ltd., Kexing Biopharm, Qianhon Biopharma (Zonhon) and Evive Biotech (Yifan).</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(lonapegsomatropin) is a prodrug composed of somatropin that is transiently bound to a TransCon carrier by a proprietary TransCon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and Adult GHD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marketed under the brand name SKYTROFA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we announced that the FDA had approved SKYTROFA (lonapegsomatropin-tcgd; developed as TransCon hGH) for the replacement of endogenous growth hormone in adults with growth hormone deficiency (GHD), a rare disorder resulting from decreased or total loss of growth hormone production. Further, on October 22,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2025, we announced commercial availability of SKYTROFA (TransCon hGH) in broader dosing ranges in the United States for the replacement of endogenous growth hormone in adults with growth hormone deficiency.</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ongoing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jc w:val="center"/>
        <w:rPr/>
      </w:pPr>
      <w:r>
        <w:rPr/>
        <w:drawing>
          <wp:inline distT="0" distB="0" distL="0" distR="0">
            <wp:extent cx="1962150" cy="3286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62150" cy="32861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address important patient needs.</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 As of December 31, 2025, 45 out of the 49 children are ongoing in the trial. TransCon hGH was generally safe and well tolerated, and with comparable safety and tolerability to daily somatropin, with four discontinuations from the trial for reasons unrelated to safety or efficacy of the study drug.</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2025, we submitted the protocol for a basket trial evaluating additional growth disorder indications (planned for small for gestational age without catch-up growth; idiopathic short stature; SHOX deficiency (including Turner syndrome)). In addition, we are investigating potential combinations of TransCon hGH and TransCon CNP. For more information see the section entitled “Combination Therapy (TransCon CNP + TransCon hGH).”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Achondroplasia</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 of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a rare genetic condition arising from a systemic fibroblast growth factor receptor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more than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caused by gain-of-function variants of the FGFR3 gene resulting in constitutive activation of FGFR3 that leads to an imbalance between the effects of the FGFR3 and C-type natriuretic peptide (“CNP”) signaling . In achondroplasia, FGFR3 is constitutively activated, suppressing the differentiation of chondrocytes in the growth plate leading to poor endochondral bone growth and causing dysfunction in the skeletal muscle. Preclinical and clinical data show that therapeutic continuous CNP exposure helps to counteract the constitutively activated FGFR3 downstream.</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(“BioMarin”) daily VOXZOGO</w:t>
      </w:r>
      <w:r>
        <w:rPr>
          <w:rFonts w:ascii="Times New Roman" w:hAnsi="Times New Roman"/>
          <w:color w:val="000000"/>
          <w:sz w:val="13"/>
        </w:rPr>
        <w:t xml:space="preserve">® </w:t>
      </w:r>
      <w:r>
        <w:rPr>
          <w:rFonts w:ascii="Times New Roman" w:hAnsi="Times New Roman"/>
          <w:color w:val="000000"/>
          <w:sz w:val="20"/>
        </w:rPr>
        <w:t>(vosoritide) was approved by the FDA to increase linear growth in pediatric patients with achondroplasia with open epiphyses. Additionally, BioMarin is developing a long-acting CNP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BioMarin has initiated certain legal proceedings aimed at delaying or preventing patient access to TransCon CNP. We believe BioMarin’s claims lack merit and that these actions threaten potential harm to patients by limiting or preventing access to a treatment option that has the potential to address multiple unmet clinical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legal proceedings include a case filed by BioMarin before the Unified Patent Court (“UPC”) in Munich related to alleged infringement against EP3175863 (the “‘863 patent”), along with a complaint filed with the U.S. International Trade Commission (“ITC”) related to alleged infringement of U.S. Reissue Patent No. 48,267. Trial in the ITC is set for April 2026. In response to the ITC action, we initiated legal action before the District Court in the U.S. Northern District of California. The District Court litigation has been stayed in view of the pending ITC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European case, we took the view that we did not infringe the ‘863 patent and that the patent was, in any event, invalid. Following opposition proceedings against the ‘863 patent that were initiated before the European Patent Office (“EPO”) in September 2022, the EPO Technical Boards of Appeal revoked the ‘863 patent in its entirety on October 16, 2025. As a consequence of the revocation, the UPC dismissed the infringement case on December 29, 2025, which included an agreement for BioMarin to reimburse Ascendis for certain legal expenses related to the case. In addition, we have instituted proceedings before the Danish Maritime and Commercial High Court, claiming entitlement to European patent applications EP21211450.8, EP25151367.7 and EP25175852.0, all of which are divisional applications of the revoked ‘863 patent. The EPO has granted a stay of proceedings with respect to these divisional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submitted a response to the FDA in September 2025 and do not believe that our pending NDA for TransCon CNP (navepegritide) should be impacted by the Citizen Petition.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October 21, 2025, we filed a petition before the Korean Intellectual Property Trial and Appeal Board (“IPTAB”) for the invalidation of BioMarin’s Korean patent KR2033680.</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jc w:val="center"/>
        <w:rPr/>
      </w:pPr>
      <w:r>
        <w:rPr/>
        <w:drawing>
          <wp:inline distT="0" distB="0" distL="0" distR="0">
            <wp:extent cx="5943600" cy="2105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105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QOL;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and release unmodified CNP (89-126), which is small enough in size to allow effective penetration into growth plates. Shorter-acting CNP and CNP analogs in development have resulted in high maximum serum concentration (“C</w:t>
      </w:r>
      <w:r>
        <w:rPr>
          <w:rFonts w:ascii="Times New Roman" w:hAnsi="Times New Roman"/>
          <w:color w:val="000000"/>
          <w:sz w:val="13"/>
        </w:rPr>
        <w:t>max</w:t>
      </w:r>
      <w:r>
        <w:rPr>
          <w:rFonts w:ascii="Times New Roman" w:hAnsi="Times New Roman"/>
          <w:color w:val="000000"/>
          <w:sz w:val="20"/>
        </w:rPr>
        <w:t>”) levels that may cause adverse hypotensive events. We believe the therapeutically sustained release of TransCon CNP offers advantages that may mitigate this issue, leading to continuous CNP exposure while avoiding a high C</w:t>
      </w:r>
      <w:r>
        <w:rPr>
          <w:rFonts w:ascii="Times New Roman" w:hAnsi="Times New Roman"/>
          <w:color w:val="000000"/>
          <w:sz w:val="13"/>
        </w:rPr>
        <w:t xml:space="preserve">max </w:t>
      </w:r>
      <w:r>
        <w:rPr>
          <w:rFonts w:ascii="Times New Roman" w:hAnsi="Times New Roman"/>
          <w:color w:val="000000"/>
          <w:sz w:val="20"/>
        </w:rPr>
        <w:t>to correlate with better therapeutic outcomes.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CNP for the Treatment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submitted a New Drug Application (“NDA”) for the treatment of children with achondroplasia on March 31, 2025 and the FDA has accepted for priority review our NDA for TransCon CNP (navepegritide). As a result of further information from the Company submitted to the FDA on November 5, 2025, related to the post-marketing requirement in response to the FDA’s ongoing review of the NDA, the FDA has set a Prescription Drug User Fee Act (“PDUFA”) goal date of February 28, 2026 to complete its review. In addition, we submitted a Marketing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Authorisation Application (“MAA”) to the European Medicines Agency (“EMA”) for the treatment of children with achondroplasia on October 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ODD from the EC for TransCon CNP for the treatment of achondroplasia.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pivotal ApproaCH Trial, our Phase 2 ACcomplisH Trial, and our long-term extension trial AttaCH,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 As of December 31, 2025, 80 children who completed the ApproaCH trial have rolled over into the AttaCH open-label extension trial and are all continuing treatment in the extension trial.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2025, we announced that Week 52 results from the pivotal ApproaCH trial were published in </w:t>
      </w:r>
      <w:r>
        <w:rPr>
          <w:rFonts w:ascii="Times New Roman" w:hAnsi="Times New Roman"/>
          <w:i/>
          <w:color w:val="000000"/>
          <w:sz w:val="20"/>
        </w:rPr>
        <w:t>JAMA Pediatrics</w:t>
      </w:r>
      <w:r>
        <w:rPr>
          <w:rFonts w:ascii="Times New Roman" w:hAnsi="Times New Roman"/>
          <w:color w:val="000000"/>
          <w:sz w:val="20"/>
        </w:rPr>
        <w:t xml:space="preserve"> titled “Once-Weekly Navepegritide in Children with Achondroplasia: The ApproaCH Randomized Clinical Trial.” The authors reported that treatment with TransCon CNP led to significantly higher annualized growth velocity (AGV) at Week 52 compared to placebo (primary endpoint), as well as improved lower limb alignment and body proportionality and positive changes in health-related QOL, with a safety and tolerability profile similar to placebo. The publication is available at Savarirayan R, et al. </w:t>
      </w:r>
      <w:r>
        <w:rPr>
          <w:rFonts w:ascii="Times New Roman" w:hAnsi="Times New Roman"/>
          <w:i/>
          <w:color w:val="000000"/>
          <w:sz w:val="20"/>
        </w:rPr>
        <w:t>JAMA Pediatr</w:t>
      </w:r>
      <w:r>
        <w:rPr>
          <w:rFonts w:ascii="Times New Roman" w:hAnsi="Times New Roman"/>
          <w:color w:val="000000"/>
          <w:sz w:val="20"/>
        </w:rPr>
        <w:t>. 2026;180(1):18-25. doi:10.1001/jamapediatrics.2025.4771.</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September 2025, we announced new analyses from the pivotal ApproaCH Trial were presented at the American Society for Bone and Mineral Research (ASBMR) Annual Meeting. The new analyses showed that children treated with TransCon CNP had improvements in the Physical Functioning domain of the Achondroplasia Child Experience Measure (ACEM-PF), with greatest benefits in younger children who had more severe genu varum (≥5°) at baseline, supporting benefits beyond linear growth. Further analyses showed correlations between improvements in physical functioning and improvements in lower limb alignment in these children, supporting the potential for TransCon CNP to provide benefits beyond linear growth.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2025, we announced data demonstrating improvements in growth and bone morphometry from Week 52 of our pivotal ApproaCH Trial of TransCon CNP (navepegritide) in children with achondroplasia. TransCon CNP demonstrated superiority over placebo in annualized growth velocity (AGV), with a safety and tolerability profile comparable to placebo that included a low rate of injection site reactions, no treatment-related serious adverse events (SAEs), no cases of symptomatic hypotension, no fractures, and no acceleration of bone age versus chronological age. Analyses also showed that TransCon CNP improved aspects of bone morphometry at Week 52. This included improvement in lower limb alignment and proportional growth, as well as increases in spinal canal dimensions, versus placebo.</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January 2025, we announced data demonstrating improvements in leg bowing, a common complication in achondroplasia, observed with TransCon CNP compared to worsening observed with placebo in the pivotal ApproaCH Trial.</w:t>
      </w:r>
    </w:p>
    <w:p>
      <w:pPr>
        <w:pStyle w:val="TextBody"/>
        <w:bidi w:val="0"/>
        <w:jc w:val="center"/>
        <w:rPr/>
      </w:pPr>
      <w:r>
        <w:rPr/>
        <w:drawing>
          <wp:inline distT="0" distB="0" distL="0" distR="0">
            <wp:extent cx="5943600" cy="2009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20097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achondroplasia-specific height Z-score, children treated with TransCon CNP (n=57) demonstrated an LS mean change from baseline achondroplasia-specific height Z-score of 0.30 compared to 0.01 in the placebo arm (n=27), an LS mean difference of 0.28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CDC-based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Results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well-tolerated and demonstrated safety profile similar to that observed in the placebo arm, with generally mild treatment emergent adverse events (“TEAEs”), no evidence of hypotensive effect, and a low frequency of injection site reactions (0.41 events per patient year), all mild.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QOL,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514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2023, we filed an Investigational New Drug Application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ACcomplisH Trial completed in October 2024, with 55 of the original 57 children transitioning into AttaCH (n=53) a multicenter, long-term, open-label extension trial to continue treatment with TransCon CNP 100 µg/kg/week, and into COACH (n=2), a TransCon CNP and TransCon hGH combination therapy trial. Two children did not roll-over for reasons unrelated to safety or efficacy of the study drug. For more information, see section entitled, “Combination Therapy TransCon CNP + TransCon hGH.”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53 children continue in AttaCH with three children withdrawn from treatment, for reasons unrelated to safety or efficacy of the study drug. Seven (n=7) children from AttaCH were enrolled and continue in COACH. There have been no withdrawals from COACH.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Combination Therapy (TransCon CNP + TransCon hGH)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CNP has demonstrated improvement in linear growth and in benefits beyond height. Clinical use of daily growth hormone monotherapy has demonstrated some growth improvements in children with achondroplasia; however, without reports of benefits beyond height, as it does not address the underlying overactive FGFR3 signaling pathway.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combination of once-weekly TransCon CNP and TransCon hGH, through two independent and complementary mechanisms of action, may provide benefits beyond monotherapies in achondroplasia. The active CNP released from TransCon CNP continuously relieves the pre-hypertrophic block in the growth plate, enabling the strong complementary effect of unmodified somatropin released from TransCon hGH.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COACH, a Phase 2 open-label single-arm trial is the first clinical trial to evaluate combination treatment with once-weekly investigational TransCon CNP (navepegritide) and once-weekly TransCon hGH (lonapegsomatropin)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children (treatment naïve, n=12; prior treatment with TransCon CNP (100 µg/kg/week) for at least 1 year, n=9).</w:t>
      </w:r>
    </w:p>
    <w:p>
      <w:pPr>
        <w:pStyle w:val="TextBody"/>
        <w:bidi w:val="0"/>
        <w:spacing w:before="240" w:after="283"/>
        <w:jc w:val="left"/>
        <w:rPr>
          <w:rFonts w:ascii="Times New Roman" w:hAnsi="Times New Roman"/>
          <w:sz w:val="20"/>
        </w:rPr>
      </w:pPr>
      <w:r>
        <w:rPr>
          <w:rFonts w:ascii="Times New Roman" w:hAnsi="Times New Roman"/>
          <w:color w:val="000000"/>
          <w:sz w:val="20"/>
        </w:rPr>
        <w:t>In January 2026, we announced topline results from Week 52 of COACH, the first Phase 2 clinical trial to evaluate combination therapy with once-weekly TransCon CNP (navepegritide) and once-weekly TransCon hGH (lonapegsomatropin) in children with achondroplasia. Annualized growth velocity exceeded the 97</w:t>
      </w:r>
      <w:r>
        <w:rPr>
          <w:rFonts w:ascii="Times New Roman" w:hAnsi="Times New Roman"/>
          <w:color w:val="000000"/>
          <w:sz w:val="13"/>
        </w:rPr>
        <w:t>th</w:t>
      </w:r>
      <w:r>
        <w:rPr>
          <w:rFonts w:ascii="Times New Roman" w:hAnsi="Times New Roman"/>
          <w:color w:val="000000"/>
          <w:sz w:val="20"/>
        </w:rPr>
        <w:t xml:space="preserve"> percentile of average stature children and the improvement in achondroplasia-specific height Z-score indicated a tripling of efficacy compared to TransCon CNP monotherapy. Additionally, combination therapy demonstrated benefits beyond linear growth with improvements in body proportionality and arm span, aligning with the increase in linear growth. The combination therapy was generally well tolerated, with generally mild TEAEs, consistent with TransCon CNP and TransCon hGH monotherapies.</w:t>
      </w:r>
      <w:r>
        <w:rPr>
          <w:rFonts w:ascii="Times New Roman" w:hAnsi="Times New Roman"/>
          <w:color w:val="58595B"/>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week-52, the mean AGV with TransCon CNP and TransCon hGH combination treatment continued to exceed the 97th percentile of average-stature children.</w:t>
      </w:r>
    </w:p>
    <w:p>
      <w:pPr>
        <w:pStyle w:val="TextBody"/>
        <w:bidi w:val="0"/>
        <w:jc w:val="center"/>
        <w:rPr/>
      </w:pPr>
      <w:r>
        <w:rPr/>
        <w:drawing>
          <wp:inline distT="0" distB="0" distL="0" distR="0">
            <wp:extent cx="5305425" cy="2809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05425" cy="28098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week-52, TransCon hGH + TransCon CNP treatment demonstrated accelerated improvement in body proportionality, aligning with the increase in linear growth.</w:t>
      </w:r>
    </w:p>
    <w:p>
      <w:pPr>
        <w:pStyle w:val="TextBody"/>
        <w:bidi w:val="0"/>
        <w:jc w:val="center"/>
        <w:rPr/>
      </w:pPr>
      <w:r>
        <w:rPr/>
        <w:drawing>
          <wp:inline distT="0" distB="0" distL="0" distR="0">
            <wp:extent cx="5943600" cy="2362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362200"/>
                    </a:xfrm>
                    <a:prstGeom prst="rect">
                      <a:avLst/>
                    </a:prstGeom>
                  </pic:spPr>
                </pic:pic>
              </a:graphicData>
            </a:graphic>
          </wp:inline>
        </w:drawing>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week-52, arm span of children treated with combination therapy improved beyond the 84th-percentile of children with achondroplasia.</w:t>
      </w:r>
    </w:p>
    <w:p>
      <w:pPr>
        <w:pStyle w:val="TextBody"/>
        <w:bidi w:val="0"/>
        <w:jc w:val="center"/>
        <w:rPr/>
      </w:pPr>
      <w:r>
        <w:rPr/>
        <w:drawing>
          <wp:inline distT="0" distB="0" distL="0" distR="0">
            <wp:extent cx="5943600" cy="2476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247650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potentially improve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developing TransCon technology in oncology for a variety of solid tumors, with encouraging early data in HER2+ breast cancer, platinum resistant ovarian cancer and melanoma. Aside from Proleukin being the only approved IL-2, TransCon IL-2 </w:t>
      </w:r>
      <w:r>
        <w:rPr>
          <w:rFonts w:ascii="Symbol;serif" w:hAnsi="Symbol;serif"/>
          <w:color w:val="000000"/>
          <w:sz w:val="20"/>
        </w:rPr>
        <w:t xml:space="preserve">b/g </w:t>
      </w:r>
      <w:r>
        <w:rPr>
          <w:rFonts w:ascii="Times New Roman" w:hAnsi="Times New Roman"/>
          <w:color w:val="000000"/>
          <w:sz w:val="20"/>
        </w:rPr>
        <w:t xml:space="preserve">may face competition from other IL-2 type drug candidates in development, including those being developed by Anaveon, Asher Bio, Aulos, Dragonfly, GI Innovation, Hanmi Pharmaceutical, Innovent, Medicenna, Roche, Synthekine, and Werewolf. In addition, TransCon IL-2 </w:t>
      </w:r>
      <w:r>
        <w:rPr>
          <w:rFonts w:ascii="Symbol;serif" w:hAnsi="Symbol;serif"/>
          <w:color w:val="000000"/>
          <w:sz w:val="20"/>
        </w:rPr>
        <w:t>b/g</w:t>
      </w:r>
      <w:r>
        <w:rPr>
          <w:rFonts w:ascii="Times New Roman" w:hAnsi="Times New Roman"/>
          <w:color w:val="000000"/>
          <w:sz w:val="20"/>
        </w:rPr>
        <w:t xml:space="preserve"> may face competition from drug candidates in development for platinum resistant ovarian cancer, including Astra Zeneca, Corcept, Daiichi Sankyo, Eli Lilly, Genelux, Genmab, and Merck. In melanoma, TransCon IL-2 </w:t>
      </w:r>
      <w:r>
        <w:rPr>
          <w:rFonts w:ascii="Symbol;serif" w:hAnsi="Symbol;serif"/>
          <w:color w:val="000000"/>
          <w:sz w:val="20"/>
        </w:rPr>
        <w:t>b/g</w:t>
      </w:r>
      <w:r>
        <w:rPr>
          <w:rFonts w:ascii="Times New Roman" w:hAnsi="Times New Roman"/>
          <w:color w:val="000000"/>
          <w:sz w:val="20"/>
        </w:rPr>
        <w:t xml:space="preserve"> may face competition from drug candidates in development including from Immatics, Immunocore, Innovent, Replimune, Regeneron, and Philogen.</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combinations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early clinical and nonclinical studies have shown sustained activation of cytotoxic immune cells that resulted in robust anti-tumor responses by TransCon product candidates using infrequent administration.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b</w:t>
      </w:r>
      <w:r>
        <w:rPr>
          <w:rFonts w:ascii="Times New Roman" w:hAnsi="Times New Roman"/>
          <w:b/>
          <w:i/>
          <w:color w:val="000000"/>
          <w:sz w:val="20"/>
        </w:rPr>
        <w:t>/</w:t>
      </w:r>
      <w:r>
        <w:rPr>
          <w:rFonts w:ascii="Symbol;serif" w:hAnsi="Symbol;serif"/>
          <w:b/>
          <w:i/>
          <w:color w:val="000000"/>
          <w:sz w:val="20"/>
        </w:rPr>
        <w:t>g</w:t>
      </w:r>
      <w:r>
        <w:rPr>
          <w:rFonts w:ascii="Times New Roman" w:hAnsi="Times New Roman"/>
          <w:color w:val="000000"/>
          <w:sz w:val="20"/>
        </w:rPr>
        <w:t xml:space="preserve">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 xml:space="preserve">b/g </w:t>
      </w:r>
      <w:r>
        <w:rPr>
          <w:rFonts w:ascii="Times New Roman" w:hAnsi="Times New Roman"/>
          <w:color w:val="000000"/>
          <w:sz w:val="20"/>
        </w:rPr>
        <w:t xml:space="preserve">(onvapegleukin alfa) is an investigational long-acting prodrug designed to improve cancer immunotherapy through sustained release of an IL-2 variant that selectively activates IL-2 </w:t>
      </w:r>
      <w:r>
        <w:rPr>
          <w:rFonts w:ascii="Symbol;serif" w:hAnsi="Symbol;serif"/>
          <w:color w:val="000000"/>
          <w:sz w:val="20"/>
        </w:rPr>
        <w:t>b/g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b/g</w:t>
      </w:r>
      <w:r>
        <w:rPr>
          <w:rFonts w:ascii="Times New Roman" w:hAnsi="Times New Roman"/>
          <w:color w:val="000000"/>
          <w:sz w:val="20"/>
        </w:rPr>
        <w:t xml:space="preserve"> in locally advanced or metastatic solid tumors, alone or in combination with pembrolizumab or other anti-cancer therapies, has completed dose escalation and is enrolling patients in multiple indication-specific dose expansion cohorts, including platinum-resistant ovarian cancer (“PROC”), melanoma, and HER2+ breast cancer.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2025, we reported updated results at the European Society for Medical Oncology (“ESMO”) that further indicate clinical activity in late-line patients with PROC treated with TransCon IL-2 </w:t>
      </w:r>
      <w:r>
        <w:rPr>
          <w:rFonts w:ascii="Symbol;serif" w:hAnsi="Symbol;serif"/>
          <w:color w:val="000000"/>
          <w:sz w:val="20"/>
        </w:rPr>
        <w:t>b/g</w:t>
      </w:r>
      <w:r>
        <w:rPr>
          <w:rFonts w:ascii="Times New Roman" w:hAnsi="Times New Roman"/>
          <w:color w:val="000000"/>
          <w:sz w:val="20"/>
        </w:rPr>
        <w:t xml:space="preserve"> with weekly paclitaxel (Cohort 3, 3SK, and 14 in the IL-Believe Trial). As of data cutoff date of September 2, 2025, 70 patients (median 4 prior lines of therapy; 67% previously treated with at least 2 lines of taxane-containing therapy) were enrolled and 53 were efficacy-evaluable to-date, with 7 pending first post-baseline scan. Clinical responses were observed in 25% (13/53) of patients who had received two to ten prior lines of therapy (three confirmed and ten unconfirmed responses, with six of the unconfirmed continuing on study treatment). Data continued to suggest that TransCon IL-2 </w:t>
      </w:r>
      <w:r>
        <w:rPr>
          <w:rFonts w:ascii="Symbol;serif" w:hAnsi="Symbol;serif"/>
          <w:color w:val="000000"/>
          <w:sz w:val="20"/>
        </w:rPr>
        <w:t>b/g</w:t>
      </w:r>
      <w:r>
        <w:rPr>
          <w:rFonts w:ascii="Times New Roman" w:hAnsi="Times New Roman"/>
          <w:color w:val="000000"/>
          <w:sz w:val="20"/>
        </w:rPr>
        <w:t xml:space="preserve"> in combination with weekly paclitaxel is generally well-tolerated with the majority of TransCon IL-2 </w:t>
      </w:r>
      <w:r>
        <w:rPr>
          <w:rFonts w:ascii="Symbol;serif" w:hAnsi="Symbol;serif"/>
          <w:color w:val="000000"/>
          <w:sz w:val="20"/>
        </w:rPr>
        <w:t>b/g</w:t>
      </w:r>
      <w:r>
        <w:rPr>
          <w:rFonts w:ascii="Times New Roman" w:hAnsi="Times New Roman"/>
          <w:color w:val="000000"/>
          <w:sz w:val="20"/>
        </w:rPr>
        <w:t xml:space="preserve">-related TEAEs being grade 1 or 2 in severity.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b/g</w:t>
      </w:r>
      <w:r>
        <w:rPr>
          <w:rFonts w:ascii="Times New Roman" w:hAnsi="Times New Roman"/>
          <w:color w:val="000000"/>
          <w:sz w:val="20"/>
        </w:rPr>
        <w:t xml:space="preserve"> induced significant peripheral expansion of cytotoxic CD8+ T cells and natural killer cells with minimal expansion of regulatory T cells, despite concurrent chemotherapy. Proliferating antigen-experienced PD-1+CD8+ T cells expanded significantly at 1 week post dose. Expanded PD-1+CD8+ T cells predominantly exhibited stem-like or transitory states, with limited progression to terminally differentiated or exhausted phenotypes. In addition, clinical responses significantly correlated with peripheral CD8+ T cell expansion in PROC. Furthermore, significant increase in CD8+ T cells was observed in the tumor of paired on-treatment biopsies from all available paired pre-treatment and on-treatment tumor samples from IL Believe Trial as of September 2, 2025, dosed at 80 (n=2) or 120 μg/kg (n=11).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provide median overall survival (“OS”) data for this cohort of 70 patients in the second quarter of 2026 as the dataset continues to mature.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2024, we announced initial data showing signs of clinical activity in heavily pre-treated patients with PROC treated (cohort 3) with TransCon IL-2 </w:t>
      </w:r>
      <w:r>
        <w:rPr>
          <w:rFonts w:ascii="Symbol;serif" w:hAnsi="Symbol;serif"/>
          <w:color w:val="000000"/>
          <w:sz w:val="20"/>
        </w:rPr>
        <w:t>b/g</w:t>
      </w:r>
      <w:r>
        <w:rPr>
          <w:rFonts w:ascii="Times New Roman" w:hAnsi="Times New Roman"/>
          <w:color w:val="000000"/>
          <w:sz w:val="20"/>
        </w:rPr>
        <w:t xml:space="preserve"> in combination with chemotherapy in the ongoing Phase 1/2 IL-Believe Trial of TransCon IL-2 </w:t>
      </w:r>
      <w:r>
        <w:rPr>
          <w:rFonts w:ascii="Symbol;serif" w:hAnsi="Symbol;serif"/>
          <w:color w:val="000000"/>
          <w:sz w:val="20"/>
        </w:rPr>
        <w:t>b/g</w:t>
      </w:r>
      <w:r>
        <w:rPr>
          <w:rFonts w:ascii="Times New Roman" w:hAnsi="Times New Roman"/>
          <w:color w:val="000000"/>
          <w:sz w:val="20"/>
        </w:rPr>
        <w:t xml:space="preserve">.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w:t>
      </w:r>
      <w:r>
        <w:rPr>
          <w:rFonts w:ascii="Symbol;serif" w:hAnsi="Symbol;serif"/>
          <w:color w:val="000000"/>
          <w:sz w:val="20"/>
        </w:rPr>
        <w:t>b/g</w:t>
      </w:r>
      <w:r>
        <w:rPr>
          <w:rFonts w:ascii="Times New Roman" w:hAnsi="Times New Roman"/>
          <w:color w:val="000000"/>
          <w:sz w:val="20"/>
        </w:rPr>
        <w:t xml:space="preserve"> was generally well-tolerated: the most common TEAEs related to combination therapy with TransCon IL-2 </w:t>
      </w:r>
      <w:r>
        <w:rPr>
          <w:rFonts w:ascii="Symbol;serif" w:hAnsi="Symbol;serif"/>
          <w:color w:val="000000"/>
          <w:sz w:val="20"/>
        </w:rPr>
        <w:t>b/g</w:t>
      </w:r>
      <w:r>
        <w:rPr>
          <w:rFonts w:ascii="Times New Roman" w:hAnsi="Times New Roman"/>
          <w:color w:val="000000"/>
          <w:sz w:val="20"/>
        </w:rPr>
        <w:t xml:space="preserve"> plus chemotherapy were fatigue, thrombocytopenia, neutropenia, and anemia. Most TransCon IL-2 β/γ-related TEAEs were grade 1 or 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reported updated results from our ongoing Phase 1/2 IL-Believe Trial of TransCon IL-2 </w:t>
      </w:r>
      <w:r>
        <w:rPr>
          <w:rFonts w:ascii="Symbol;serif" w:hAnsi="Symbol;serif"/>
          <w:color w:val="000000"/>
          <w:sz w:val="20"/>
        </w:rPr>
        <w:t>b/g.</w:t>
      </w:r>
      <w:r>
        <w:rPr>
          <w:rFonts w:ascii="Times New Roman" w:hAnsi="Times New Roman"/>
          <w:color w:val="58595B"/>
          <w:sz w:val="20"/>
        </w:rPr>
        <w:t xml:space="preserve"> </w:t>
      </w:r>
      <w:r>
        <w:rPr>
          <w:rFonts w:ascii="Times New Roman" w:hAnsi="Times New Roman"/>
          <w:color w:val="000000"/>
          <w:sz w:val="20"/>
        </w:rPr>
        <w:t xml:space="preserve">Data included the first presentation of Phase 2 dose expansion Cohort 4 (TransCon IL-2 </w:t>
      </w:r>
      <w:r>
        <w:rPr>
          <w:rFonts w:ascii="Symbol;serif" w:hAnsi="Symbol;serif"/>
          <w:color w:val="000000"/>
          <w:sz w:val="20"/>
        </w:rPr>
        <w:t>b/g</w:t>
      </w:r>
      <w:r>
        <w:rPr>
          <w:rFonts w:ascii="Times New Roman" w:hAnsi="Times New Roman"/>
          <w:color w:val="000000"/>
          <w:sz w:val="20"/>
        </w:rPr>
        <w:t xml:space="preserve">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w:t>
      </w:r>
      <w:r>
        <w:rPr>
          <w:rFonts w:ascii="Symbol;serif" w:hAnsi="Symbol;serif"/>
          <w:color w:val="000000"/>
          <w:sz w:val="20"/>
        </w:rPr>
        <w:t>b/g</w:t>
      </w:r>
      <w:r>
        <w:rPr>
          <w:rFonts w:ascii="Times New Roman" w:hAnsi="Times New Roman"/>
          <w:color w:val="000000"/>
          <w:sz w:val="20"/>
        </w:rPr>
        <w:t xml:space="preserve">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w:t>
      </w:r>
      <w:r>
        <w:rPr>
          <w:rFonts w:ascii="Symbol;serif" w:hAnsi="Symbol;serif"/>
          <w:color w:val="000000"/>
          <w:sz w:val="20"/>
        </w:rPr>
        <w:t>b/g</w:t>
      </w:r>
      <w:r>
        <w:rPr>
          <w:rFonts w:ascii="Times New Roman" w:hAnsi="Times New Roman"/>
          <w:color w:val="000000"/>
          <w:sz w:val="20"/>
        </w:rPr>
        <w:t xml:space="preserve"> alone or in combination with pembrolizumab or TransCon TLR7/8 Agonist was generally well tolerated with no new safety signals.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 xml:space="preserve">b/g </w:t>
      </w:r>
      <w:r>
        <w:rPr>
          <w:rFonts w:ascii="Times New Roman" w:hAnsi="Times New Roman"/>
          <w:color w:val="000000"/>
          <w:sz w:val="20"/>
        </w:rPr>
        <w:t xml:space="preserve">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recommended Phase 2 dose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Strategic Collaborations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Novo Nordisk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are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announced that our multi-product collaboration with Novo Nordisk for TransCon technology-based therapies in obesity and metabolic diseases continues and that the lead program TransCon Semaglutide, remains on track to enter the clinic as anticipated.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Teijin announced that YORVIPATH is commercially available for prescription.</w:t>
      </w:r>
    </w:p>
    <w:p>
      <w:pPr>
        <w:pStyle w:val="TextBody"/>
        <w:bidi w:val="0"/>
        <w:spacing w:before="240" w:after="283"/>
        <w:jc w:val="left"/>
        <w:rPr>
          <w:rFonts w:ascii="Times New Roman" w:hAnsi="Times New Roman"/>
          <w:sz w:val="20"/>
        </w:rPr>
      </w:pPr>
      <w:r>
        <w:rPr>
          <w:rFonts w:ascii="Times New Roman" w:hAnsi="Times New Roman"/>
          <w:b/>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an additional $12.5 million in VISEN as part of VISEN’s $150 million Series B financing.</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the Company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the VISEN pursuant to applicable listing rules. As of December 31, 2025 and 2024, the Company’s ownership in VISEN was 39.2% and 43.9%, respectively. As of December 31, 2025, VISEN’s share price at the Hong Kong Stock Exchange was HK$32.80, reflecting the market value of the Company’s equity position of €147.5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VISEN announced its biologics license application (“BLA”) for lonapegsomatropin (TransCon hGH) was approved by the National Medical Products Administration (“NMPA”) of China for the treatment of pediatric patients who have growth failure due to inadequate secretion of growth hormone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2025, VISEN announced that palopegteriparatide (TransCon PTH) was approved by the Hainan Medical Products Administration for clinical use in the Boao Lecheng Pilot Zone for the treatment of adults with chronic hypoparathyroidism.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its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VISEN reported that patients dosed with TransCon CNP at the 100 μg CNP/kg/week showed significantly higher AGV than placebo at Week 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VISEN reported that patients dosed with TransCon hGH demonstrated an AHV of 10.66 cm/year compared to 9.75 cm/year for the daily hGH at 52 weeks (treatment difference at 0.91 cm/year with a 95 percent confidence interval: 0.37 – 1.45 cm/year, p=0.0010), reaching its primary objective, demonstrating that TransCon hGH is non-inferior to the daily hGH.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Opportunity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Rights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Further, in June 2025, we entered into a Commercial Supply Framework Agreement with VISEN regarding the supply of additional batches of licensed product (TransCon hGH) to VISEN.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announced the formation and launch with Frazier Life Sciences of Eyconis, a separate company created to develop, manufacture, and commercialize TransCon ophthalmology assets globally, together with a $150 million commitment from an investor syndicate that included Frazier, RA Capital Management, venBio, and HealthQuest Capital. 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December 31, 2025 and 2024, the Company’s ownership in Eyconis was 33.2% and 41.6%,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do not maintain the capability to manufacture finished drug products, we utilize contract manufacturers to manufacture finished drug product of our proprietary TransCon products and product candidates intended for commercial or clinical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one or a limited number of suppliers and there is a risk that if such supply or services were interrupted, it would materially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utilize the services of contract manufacturers to manufacture drug substance required for later phases of clinical development and commercialization for us under all applicable laws and regulations and are subject to long term forecasting obligations and certain minimum purchase requirements for all parts of the commercial supply chain.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analytical and process development capabilities in our own facility for R&amp;D activities.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facilities or capabilities to manufacture bulk drug substance or filled drug product for commercial use or use in human clinical trials. We rely on third-party manufacturers to produce the bulk drug substances required for commercialization and our clinical trials and expect to continue to rely on third-parties to manufacture and test clinical trial drug supplies for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contract suppliers manufacture drug substance and finished drug product for our TransCon products and product candidates for commercial and clinical trial use in effort to comply with current good manufacturing practice (“cGMP”), applicable local regulations and similar foreign requirements. cGMP and similar foreign requirements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similar foreign requirements, and for device and device components, the Quality Management System Regulation (“QMSR”) requirements, before any product is approved. Our third-party manufacturers may also be subject to periodic inspections of facilities by the FDA, the EU member states competent authorities, and other authorities, including reviews of procedures and operations used in the testing and manufacture of our products to assess our compliance with applicable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pStyle w:val="TextBody"/>
        <w:bidi w:val="0"/>
        <w:spacing w:before="240" w:after="283"/>
        <w:jc w:val="left"/>
        <w:rPr>
          <w:rFonts w:ascii="Times New Roman" w:hAnsi="Times New Roman"/>
          <w:sz w:val="20"/>
        </w:rPr>
      </w:pPr>
      <w:r>
        <w:rPr>
          <w:rFonts w:ascii="Times New Roman" w:hAnsi="Times New Roman"/>
          <w:b/>
          <w:i/>
          <w:color w:val="000000"/>
          <w:sz w:val="20"/>
        </w:rPr>
        <w:t>NOF Manufacturing and Supply Agreement Related to 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2020, we entered into a multi-year Manufacturing and Supply Agreement (the “NOF PTH Agreement”) with NOF. Under the NOF PTH Agreement, NOF has agreed to manufacture and supply the PEG maleimide (the “NOF PTH Product”) for our TransCon PTH product candidate. We have agreed to purchase certain quantities of NOF PTH Product. We may purchase NOF PTH Product from other manufacturers and are not obligated to purchase NOF PTH Product from NOF, other than certain quantities that have been forecasted by us in accordance with a mandatory rolling forecast that we must deliver to NOF from time to time.</w:t>
      </w:r>
    </w:p>
    <w:p>
      <w:pPr>
        <w:pStyle w:val="TextBody"/>
        <w:bidi w:val="0"/>
        <w:spacing w:before="240" w:after="283"/>
        <w:jc w:val="left"/>
        <w:rPr>
          <w:rFonts w:ascii="Times New Roman" w:hAnsi="Times New Roman"/>
          <w:sz w:val="20"/>
        </w:rPr>
      </w:pPr>
      <w:r>
        <w:rPr>
          <w:rFonts w:ascii="Times New Roman" w:hAnsi="Times New Roman"/>
          <w:b/>
          <w:i/>
          <w:color w:val="000000"/>
          <w:sz w:val="20"/>
        </w:rPr>
        <w:t>Carbogen Manufacturing and Supply Agreement Related to 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27, 2021, we entered into a multi-year Manufacturing and Supply Agreement (the “Carbogen PTH Agreement”) with Carbogen. Under the Carbogen PTH Agreement, Carbogen has agreed to manufacture and supply Linker F (the “Carbogen PTH Product”) for our TransCon PTH product candidate. We may purchase Carbogen PTH Product from other manufacturers and are not obligated to purchase Carbogen PTH Product from Carbogen, other than certain quantities that have been forecasted by us in accordance with a mandatory rolling forecast that we must deliver to Carbogen from time to time.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Vetter Pharma International GmbH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2022, we entered into a multi-year Supply Agreement (as amended on April 8, 2024, the “PTH Vetter Agreement”) with Vetter. Under the PTH Vetter Agreement, Vetter has agreed to manufacture and supply single chamber cartridges pre-filled with TransCon PTH (the “Ascendis PTH Product”). Vetter has agreed to supply in accordance with a long-term forecast and a rolling forecast with certain materials that we deliver to Vetter from time to time.</w:t>
      </w:r>
    </w:p>
    <w:p>
      <w:pPr>
        <w:pStyle w:val="TextBody"/>
        <w:bidi w:val="0"/>
        <w:spacing w:before="240" w:after="283"/>
        <w:jc w:val="left"/>
        <w:rPr>
          <w:rFonts w:ascii="Times New Roman" w:hAnsi="Times New Roman"/>
          <w:sz w:val="20"/>
        </w:rPr>
      </w:pPr>
      <w:r>
        <w:rPr>
          <w:rFonts w:ascii="Times New Roman" w:hAnsi="Times New Roman"/>
          <w:b/>
          <w:i/>
          <w:color w:val="000000"/>
          <w:sz w:val="20"/>
        </w:rPr>
        <w:t>Bachem Manufacturing and Supply Agreement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December 27, 2020, we entered into a multi-year Manufacturing and Supply Agreement (the “Bachem Agreement”) with Bachem AG (“Bachem”). Under the Bachem Agreement, Bachem has agreed to manufacture and supply PTH drug substance (the “Bachem Product”) for our TransCon PTH product candidate. We may purchase Bachem Product from other manufacturers and are not obligated to purchase Bachem Product from Bachem, other than certain quantities that have been forecasted by us in accordance with a mandatory rolling forecast that we must deliver to Bachem from time to time.</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that other companies are developing or evaluating enhanced drug delivery and sustained release technologies, which may be competitive with our TransCon technologies. In particular, we believe Extend Biosciences,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seek to protect the intellectual property and proprietary technology that we believe is important to our business, which includes seeking and maintaining patents covering our technology, i.e., TransCon linkers and carriers, specific lead candidate structures, broad product concepts, proprietary processes and any other inventions that are commercially and/or strategically important to the development of our business. We also rely on trade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secrets that may be important to the development of our business and actively seek to protect the confidentiality of such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will depend on our ability to obtain and maintain patents and other proprietary protection for commercially important technology, inventions and know-how related to our business, defend and enforce our patents, preserve the confidentiality of our trade secrets and operate without infringing valid and enforceable patents or otherwise misappropriate other intellectual property rights of third-parties. For more information, please see “Item 3 D. Key Information—Risk Factors—Risks Related to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own over 465 granted patents and over 625 pending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 far, none of our granted patents have been subject to opposition proceedings, appeals or similar actions aiming at revoking or restricting the scope of such granted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own the following patents relating to our products and our pipeline (in addition to certain patents covering our early-stage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SKYTROFA and the related TransCon technology, we own twenty-one patents in the United States and Europe that will expire between 2026 and 2040. For the SKYTROFA Auto-Injector, we own twenty-six patents in the United States and Europe that will expire between 2036 and 2041.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YORVIPATH and the related TransCon technology, we own fifteen patents in the United States and Europe that will expire between 2029 and 2042.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TransCon CNP and the related TransCon technology, we own seventeen patents in the United States and Europe that will expire between 2027 and 2042.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own 75 patents in the United States that we expect to expire between February 2026 and November 2042 and 33 patents in the European Union that we expect to expire between January 2029 and May 2039. In addition, we own more than 355 patents in jurisdictions outside of the United States and the European Union that expire between January 2029 and November 2042.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the above list is based on our current assessment of patents that we own and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U.S. and other important markets outside the U.S.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 and could force us to either obtain third-party licenses at a material cost or cease using a technology or commercializing a product.</w:t>
      </w:r>
    </w:p>
    <w:p>
      <w:pPr>
        <w:pStyle w:val="TextBody"/>
        <w:bidi w:val="0"/>
        <w:spacing w:before="240" w:after="283"/>
        <w:jc w:val="left"/>
        <w:rPr>
          <w:rFonts w:ascii="Times New Roman" w:hAnsi="Times New Roman"/>
          <w:sz w:val="20"/>
        </w:rPr>
      </w:pPr>
      <w:r>
        <w:rPr>
          <w:rFonts w:ascii="Times New Roman" w:hAnsi="Times New Roman"/>
          <w:b/>
          <w:i/>
          <w:color w:val="000000"/>
          <w:sz w:val="20"/>
        </w:rPr>
        <w:t>Laws and Regulations Regarding Patent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United States Patent and Trademark Office in granting a patent. The patent term of a European patent is 20 years from its filing date, which, unlike in the United States, is not subject to patent term adjustments.</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When our products received FDA approval in the past and if additional products receive FDA approval in the future, we have applied for and expect to apply upon future approvals for patent term extensions on patents covering those products. We anticipate that some of our granted patents may be eligible for patent term extensions.</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 and Product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Medicinal products, including drugs and biologics, must be approved or licensed by the FDA through the NDA or BLA process, before being able to be legally marketed in the US. Product candidates will be subject to similar requirements in other countries prior to marketing in those countries. The processes for obtaining regulatory approvals in the United States, the European Union (“EU”) and in other countries, along with subsequent compliance with appropriate federal, state, local and foreign statutes and regulations, require the expenditure of substantial time and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U.S.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sponsors of drugs and biologics are subject to extensive regulation by the FDA, which regulates drugs under the Federal Food, Drug, and Cosmetic Act (“FDCA”) and in the case of biologics, also under the Public Health Service Act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required by the FDA before a drug or biologic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preclinical laboratory tests, animal studies and formulation studies in compliance with the FDA’s Good Laboratory Practice (“GLP”) regulations,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(“IRB”) at each clinical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Good Clinical Practice (“GCP”), requirements to establish the safety and efficacy of the proposed drug or, or safety, purity and potency of the proposed biological product for each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NDA or BLA;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advisory committee review,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or biologic’s identity, strength, quality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potential FDA inspection of selected clinical investigation sites to assess compliance with GCP;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the NDA or BLA to permit commercial marketing of the product for particular indications for use in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Nonclinical Studies and Investigational New Drug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(such as the required subject examinations, processes for tracking adverse events and required laboratory investigations),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NIH, for public dissemination on their www.clinicaltrials.gov website.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or four sequential phases, which may overlap or be combined: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The product candidate is initially introduced into healthy human subjects or patients with the target disease or condition and tested for safety, optimal dosage, absorption, metabolism, distribution, excretion and, if possible, to gain an early indication of its 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The product candidate is administered to a limited patient population to identify possible adverse effects and safety risks, to preliminarily evaluate the efficacy of the product for specific diseases and to determine optimal dosage.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development of a new product candidate,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FDA to provide advice, and for the sponsor and the FDA to reach consensus on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Marketing Approval in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Regardless of whether the applicable trials were conducted under an IND, the FDA may accept foreign data as the sole basis for NDA or BLA approval only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clinical trial or other significant and time-consuming requirements.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post-marketing studies and surveillance programs to further assess and monitor the product’s safety and effectiveness after commercialization, and may limit further marketing of the product based on the results of any post-marketing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Pediatric Research Equity Act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283"/>
        <w:jc w:val="left"/>
        <w:rPr>
          <w:rFonts w:ascii="Times New Roman" w:hAnsi="Times New Roman"/>
          <w:sz w:val="20"/>
        </w:rPr>
      </w:pPr>
      <w:r>
        <w:rPr>
          <w:rFonts w:ascii="Times New Roman" w:hAnsi="Times New Roman"/>
          <w:b/>
          <w:i/>
          <w:color w:val="000000"/>
          <w:sz w:val="20"/>
        </w:rPr>
        <w:t>Regulation of Combination Products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A combination product with a primary mode of action attributable to the drug component generally would be reviewed and approved pursuant to the drug approval processes set forth in the FDCA or PHSA by either the FDA’s Center for Drug Evaluation and Research or the FDA’s Center for Biologics Evaluation and Research, respectively. In reviewing the NDA or BLA for such a product, however, such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QMSR applicable to medical devices.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An NDA or BLA for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An NDA or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product candidates studied for their safety and effectiveness in treating serious or life-threatening diseases or conditions may receive accelerated approval upon a determination that the product has an effect on a surrogate or intermediate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studies be well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as a condition for accelerated approval pre-approval of promotional materials, which could adversely impact the timing of the commercial launch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in accordance with the statute and regulations if compliance with regulatory requirements and standards is not maintained or if problems occur after the product reaches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NDAs or BLAs or supplements to approved NDAs or BLAs,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A company can make only those claims relating to safety and efficacy, purity and potency that are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Orphan Drug Designation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drug designation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 However, ODD does entitle a party to financial incentives such as opportunities for grant funding towards clinical trial costs, tax advantages and user fee waivers.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approved indication or use within such disease or condition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relating to the approved indication or use of patients with the disease or condition for which the drug was designated. Orphan drug exclusivity does not prevent the FDA from approving a different product for the same indication or use or the same product for a different indication or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Biosimilars and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Drug Product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 </w:t>
      </w:r>
    </w:p>
    <w:p>
      <w:pPr>
        <w:pStyle w:val="TextBody"/>
        <w:bidi w:val="0"/>
        <w:spacing w:before="240" w:after="283"/>
        <w:jc w:val="left"/>
        <w:rPr>
          <w:rFonts w:ascii="Times New Roman" w:hAnsi="Times New Roman"/>
          <w:sz w:val="20"/>
        </w:rPr>
      </w:pPr>
      <w:r>
        <w:rPr>
          <w:rFonts w:ascii="Times New Roman" w:hAnsi="Times New Roman"/>
          <w:b/>
          <w:i/>
          <w:color w:val="000000"/>
          <w:sz w:val="20"/>
        </w:rPr>
        <w:t>Pediatric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Pediatric exclusivity is a type of non-patent exclusivity in the United States and, if granted, provides for the attachment of an additional six months of marketing protection to the term of any existing patent term or period of non-patent regulatory exclusivity, including the five-year and three-year non-patent and orphan exclusivities.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may be granted. If reports of FDA-requested pediatric studies are submitted to and accepted by the FDA within the statutory time limits, whatever statutory or regulatory periods of non-patent regulatory exclusivity or patent protection cover the product are extended by six months. This is not a patent term extension, but it effectively extends existing periods of exclusivity.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market any product outside of the United States, sponsors need to comply with numerous and different regulatory requirements of other countries regarding safety and efficacy and governing, among other things, clinical trials, marketing authorization, commercial sales and distribution of our products. Foreign regulatory approval processes include all of the risks associated with FDA approval set forth above, as well as additional country and region-specific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or not applicants obtain FDA approval for a product, companies must obtain approval of a product by the comparable regulatory authorities of foreign countries before commencing clinical trials or marketing of the product in those countries. Approval by one regulatory authority does not ensure approval by regulatory authorities in other jurisdictions. The approval process varies from country to country, can involve additional testing or studies beyond that required by FDA, and may be longer or shorter than the FDA approval process. The requirements governing the conduct of clinical trials, product licensing, pricing, promotion, and reimbursement vary greatly from country to country.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Studies and Clinical Trials in the EU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to the United States, the various phases of non-clinical and clinical research in the EU are subject to significant regulatory controls.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Non-clinical studies are performed to demonstrate the health or environmental safety of new chemical or biological substances. Non-clinical studies (pharmaco-toxicological) must be conducted in compliance with the principles of GLP as set forth in EU Directive 2004/10/EC (unless otherwise justified for certain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medicinal products in the EU must be conducted in accordance with EU and national regulations and the International Council for Harmonization of Technical Requirements for Pharmaceuticals for Human Use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landscape related to clinical trials in the EU has been subject to recent changes. The EU Clinical Trials Regulation (“EU CTR”) repeals the EU Clinical Trials Directive, and became applicable on January 31, 2022. Unlike a Directive, the EU CTR is directly applicable in all EU member states without the need for member states to further implement it into national law. The EU CTR notably harmonizes the assessment and supervision processes for clinical trials throughout the EU via the Clinical Trials Information System (“CTIS”), which is a centralized EU portal and database.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EU CTR introduced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One of the main aims of EU CTR is to increase transparency about clinical trials, which is done by making documents and data from the CTA publicly available through CTIS at the time of decision about the clinical trial. There are few exceptions to this, and release of personal data and company confidential information may be controlled through redaction. The CTR transition period ended on January 31, 2025, and all clinical trials (and related applications) are now fully subject to the provisions of the CTR.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Medicines used in clinical trials must be manufactured in accordance with GMP. Other national and EU-wide regulatory requirements may also apply.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Marketing Authorization in the EU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Centralized MAs” are issued by the European Commission (“EC”) through the centralized procedure based on the opinion of the Committee for Medicinal Products for Human Use of the European Medicine Agency (“EMA”), and are valid throughout the EU. The centralized procedure is compulsory for certain types of medicinal products such as (i) medicinal products derived from biotechnological processes, (ii) designated orphan medicinal products, (iii) advanced therapy medicinal products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authorized in the EU before May 20, 2004, or that represent a significant therapeutic, scientific or technical innovation, or whose authorization would be in the interest of public health in the EU. Under the centralized procedure the maximum timeframe for the evaluation of an MAA by the EMA is 210 days, excluding clock stops.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National MAs” are issued by the competent authorities of the EU member states, only cover their respective territory, and are available for product candidates not falling within the mandatory scope of the centralized procedure. </w:t>
      </w:r>
    </w:p>
    <w:p>
      <w:pPr>
        <w:pStyle w:val="TextBody"/>
        <w:bidi w:val="0"/>
        <w:spacing w:before="240" w:after="283"/>
        <w:jc w:val="left"/>
        <w:rPr>
          <w:rFonts w:ascii="Times New Roman" w:hAnsi="Times New Roman"/>
          <w:sz w:val="20"/>
        </w:rPr>
      </w:pPr>
      <w:r>
        <w:rPr>
          <w:rFonts w:ascii="Times New Roman" w:hAnsi="Times New Roman"/>
          <w:b/>
          <w:i/>
          <w:color w:val="000000"/>
          <w:sz w:val="20"/>
        </w:rPr>
        <w:t>Data and Marketing Exclusivity in the EU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Orphan Medicinal Products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to those in the United States, albeit with some key differences in definition.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Orphan designation must be requested before submitting an MAA. An EU orphan designation entitles a sponsor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similar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Pediatric Development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MAAs for new medicinal products have to include the results of studies conducted in the pediatric population, in compliance with a PIP agreed with the EMA’s Paediatric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Post-Approval Requirements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prohibited in the EU. Although general requirements for advertising and promotion of medicinal products are established under EU directives, the details are governed by regulations in each member state and differ from one country to another.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aforementioned EU rules are generally applicable in the European Economic Area (“EEA”), which consists of the 27 EU member states plus Norway, Liechtenstein and Iceland.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w:t>
      </w:r>
    </w:p>
    <w:p>
      <w:pPr>
        <w:pStyle w:val="TextBody"/>
        <w:bidi w:val="0"/>
        <w:spacing w:before="240" w:after="283"/>
        <w:jc w:val="left"/>
        <w:rPr>
          <w:rFonts w:ascii="Times New Roman" w:hAnsi="Times New Roman"/>
          <w:sz w:val="20"/>
        </w:rPr>
      </w:pPr>
      <w:r>
        <w:rPr>
          <w:rFonts w:ascii="Times New Roman" w:hAnsi="Times New Roman"/>
          <w:b/>
          <w:i/>
          <w:color w:val="000000"/>
          <w:sz w:val="20"/>
        </w:rPr>
        <w:t>Brexit and the Regulatory Framework in the United Kingdom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January 1, 2021, the Medicines and Healthcare products Regulatory Agency (“MHRA”) is the UK’s standalone medicines and medical devices regulator. On January 1, 2025, an arrangement called the “Windsor Framework” came into effect and reintegrated Northern Ireland (which had previously remained subject to EU rules) under the regulatory authority of the MHRA with respect to medicinal products. The Windsor Framework removes EU licensing processes and EU labelling and serialization requirements in relation to Northern Ireland and introduces a UK-wide licensing process for medicines.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UK regulatory framework in relation to clinical trials is governed by the Medicines for Human Use (Clinical Trials) Regulations 2004, as amended, which is derived from the now-repealed EU Clinical Trials Directive. On April 28, 2025, the UK adopted an amendment to the Medicines for Human Use (Clinical Trials) Regulations 2004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MHRA has introduced changes to national licensing procedures, including procedures to prioritize access to new medicines that will benefit patients, including a 150-day assessment and a rolling review procedure.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In addition, an international recognition procedure has been in place since </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January 1, 2024, which allows the MHRA to take into account the expertise and decision-making of trusted partner agencies, such as the European Medicines Agency, when determining an application for a new UK 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 </w:t>
      </w:r>
    </w:p>
    <w:p>
      <w:pPr>
        <w:pStyle w:val="TextBody"/>
        <w:bidi w:val="0"/>
        <w:spacing w:before="240" w:after="283"/>
        <w:jc w:val="left"/>
        <w:rPr>
          <w:rFonts w:ascii="Times New Roman" w:hAnsi="Times New Roman"/>
          <w:sz w:val="20"/>
        </w:rPr>
      </w:pPr>
      <w:r>
        <w:rPr>
          <w:rFonts w:ascii="Times New Roman" w:hAnsi="Times New Roman"/>
          <w:b/>
          <w:i/>
          <w:color w:val="000000"/>
          <w:sz w:val="20"/>
        </w:rPr>
        <w:t>Regulation of Combination Products in the EU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regulates medical devices and medicinal products separately, through different legislative instruments, and the applicable requirements will vary depending on the type of drug-device combination product. Guidances have been published to help manufacturers select the right regulatory framework.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(“EU MDR”).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requirements regarding quality documentation for medicinal products when used with a medical device, including single integral products, co-packaged and referenced products, are outlined in the EMA guideline of July 22, 2021, which became applicable as of January 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aforementioned EU rules are generally applicable in the EEA.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 of the World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other countries outside of the EU and the United States, such as countries in Eastern Europe, Latin America, Asia, or Japan, the requirements governing the conduct of clinical trials, product licensing, pricing and reimbursement vary from jurisdiction to jurisdiction. Additionally, the clinical trials must be conducted in accordance with GCP requirements and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comply with applicable regulatory requirements, we may be subject to, among other things, fines, suspension or withdrawal of regulatory approvals, product recalls, seizure of products, operating restrictions and criminal prosecution.</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Healthcare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FDA restrictions on marketing of `pharmaceutical products, other U.S. federal, state and foreign healthcare regulatory laws, regulations and industry codes restrict business practices in the biopharmaceutical industry, which include, but are not limited to, state, federal and foreign anti-kickback, false claims, and transparency laws regarding drug pricing and payments or other items of value provided to physicians and other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has been a recent trend of increased federal and state regulation of payments made to physicians and other healthcare providers. The Physician Payments Sunshine Act imposed, among other things, annual reporting requirements for covered manufacturers for certain payments and “transfers of value” provided to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Covered manufacturers must submit reports by the 90th day of each subsequent calendar year.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analogous state and foreign laws, regulations and industry codes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regional and national “Sunshine Acts” which impose reporting and transparency requirements, similar to the requirements in the United States, on pharmaceutical companies. Certain countries also mandate implementation of commercial compliance programs, or require disclosure of marketing expenditures and pricing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Violation of any of such laws, regulations and industry codes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 </w:t>
      </w:r>
    </w:p>
    <w:p>
      <w:pPr>
        <w:pStyle w:val="TextBody"/>
        <w:bidi w:val="0"/>
        <w:spacing w:before="24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SKYTROFA or any other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payors may limit coverage to specific drug products on an approved list, also known as a formulary, which might not include all of the FDA-approved drugs for a particular indication. A decision by a third-party payor not to cover SKYTROFA or our other product candidates could reduce physician utilization of our products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 </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In addition, in many foreign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lower priced markets exert a commercial pressure on pricing within a country.</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 increased the minimum Medicaid rebates owed by manufacturers under the Medicaid Drug Rebate Program, (ii) addressed a new methodology by which rebates owed by manufacturers under the Medicaid Drug Rebate Program are calculated for drugs that are inhaled, infused, instilled, implanted or injected, (iii) extended rebate liability under the Medicaid Drug Rebate Program to utilization of prescriptions of individuals enrolled in Medicaid managed care plans, and (iv) subjected drug manufacturers to new annual fees based on pharmaceutical companies’ share of sales to federal healthcare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 the Budget Control Act of 2011, which resulted in reductions in Medicare payments to providers, which went into effect on April 1, 2013 and will stay in effect through 2032,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 In addition, the American Rescue Plan Act of 2021 was signed into law, which eliminated the statutory Medicaid drug rebate cap, beginning January 1, 2024. The rebate was previously capped at 100% of a drug’s average manufacturer price.</w:t>
      </w:r>
    </w:p>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there has been heightened governmental scrutiny recently over the manner in which drug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the Inflation Reduction Act (“IRA”) was signed into law in 2022. The IRA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The Centers for Medicare &amp; Medicaid Services has published the negotiated prices for the initial ten drugs, which went into effect in January 2026, and the subsequent 15 drugs, which will first be effective in 2027.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SKYTROFA®, YORVIPATH® or any product candidate that we commercialize.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these proposals will be implemented, the Trump policies are likely to have a negative impact on the pharmaceutical industry and on our ability to receive adequate revenues for SKYTROFA®, YORVIPATH®, and any other product candidates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international markets, reimbursement and healthcare payment systems vary significantly by country, and many countries have instituted price ceilings on specific products and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 </w:t>
      </w:r>
    </w:p>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While the Regulation entered into force in January 2022, it entered into application on January 12, 2025, with preparatory and implementation-related steps taking place in the interim. The Regulation has a phased implementation depending on the concerned products. As a first step, these new rules started applying to MAAs for new oncology and advanced therapy medicinal products as of January 12, 2025. The rules will be extended to orphan medicinal products in January 2028 and will as of 2030 cover all new medicinal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pStyle w:val="TextBody"/>
        <w:bidi w:val="0"/>
        <w:spacing w:before="360" w:after="283"/>
        <w:jc w:val="left"/>
        <w:rPr>
          <w:rFonts w:ascii="Times New Roman" w:hAnsi="Times New Roman"/>
          <w:sz w:val="20"/>
        </w:rPr>
      </w:pPr>
      <w:r>
        <w:rPr>
          <w:rFonts w:ascii="Times New Roman" w:hAnsi="Times New Roman"/>
          <w:b/>
          <w:i/>
          <w:color w:val="000000"/>
          <w:sz w:val="20"/>
        </w:rPr>
        <w:t>Data 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Privacy, use of AI and data security have become significant concerns around the world including United States, Europe and in many other jurisdictions where we may in the future conduct our operations. As we receive and, process personal and confidential data, we become subject to numerous laws and regulations relating to data privacy, AI and security, such as data breach notification laws, health information laws, AI regulations and consumer protection laws in the United States and abroad including the GDPR and the U.K. GDPR. These laws and regulations are complex and constantly evolving, and any unauthorized access, use, disclosure and other loss of personal data, including by third party vendors providing support services, can result in investigations, proceedings, or actions that lead to significant civil and/or criminal penalties, restrictions on data processing and reputational damage.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Organizational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operations are conducted through our wholly-owned subsidiaries. These subsidiaries are set forth in Exhibit 8.1 to this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Plants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material tangible fixed assets relate to leased facilities, which are recognized and measured as right-of-use assets in the consolidated financial statements. We do not own any of our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headquarters is located in Hellerup, Denmark. In addition, we have offices and research and development facilities in Germany and the United States. Further, we are expanding our commercial infrastructure in the U.S. and Europe, where we have sales and representative offices in Germany, France, Spain, Italy, Switzerland, Portugal and the United Kingdom. Since we do not own facilities for manufacturing of our products and product candidates, we engage with Contract Manufacturing Organizations (“CMOs”) to manufacture commercial and clinical trial supply.</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specifies our current material leased facilities and their related activities. </w:t>
      </w:r>
    </w:p>
    <w:tbl>
      <w:tblPr>
        <w:tblW w:w="10205" w:type="dxa"/>
        <w:jc w:val="left"/>
        <w:tblInd w:w="0" w:type="dxa"/>
        <w:tblLayout w:type="fixed"/>
        <w:tblCellMar>
          <w:top w:w="28" w:type="dxa"/>
          <w:left w:w="28" w:type="dxa"/>
          <w:bottom w:w="28" w:type="dxa"/>
          <w:right w:w="28" w:type="dxa"/>
        </w:tblCellMar>
      </w:tblPr>
      <w:tblGrid>
        <w:gridCol w:w="1958"/>
        <w:gridCol w:w="146"/>
        <w:gridCol w:w="146"/>
        <w:gridCol w:w="601"/>
        <w:gridCol w:w="146"/>
        <w:gridCol w:w="146"/>
        <w:gridCol w:w="2598"/>
        <w:gridCol w:w="146"/>
        <w:gridCol w:w="1380"/>
        <w:gridCol w:w="146"/>
        <w:gridCol w:w="2792"/>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1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Size (in</w:t>
              <w:br/>
              <w:t>square</w:t>
              <w:br/>
              <w:t>meters)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Primary usage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Enforceable</w:t>
              <w:br/>
              <w:t>lease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Option to extend</w:t>
              <w:br/>
              <w:t>the lease beyond</w:t>
              <w:br/>
              <w:t>enforceable lease</w:t>
              <w:br/>
              <w:t>period</w:t>
            </w:r>
          </w:p>
        </w:tc>
      </w:tr>
      <w:tr>
        <w:trPr/>
        <w:tc>
          <w:tcPr>
            <w:tcW w:w="1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Tuborg Boulevard, Hellerup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Corporate headquarters, Administration and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July, 2029 - May, 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w:t>
            </w:r>
          </w:p>
        </w:tc>
      </w:tr>
      <w:tr>
        <w:trPr/>
        <w:tc>
          <w:tcPr>
            <w:tcW w:w="1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Grüne Meile, Heidelberg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Administration, R&amp;D and laboratory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October,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Option to extend for additional five years</w:t>
            </w:r>
          </w:p>
        </w:tc>
      </w:tr>
      <w:tr>
        <w:trPr/>
        <w:tc>
          <w:tcPr>
            <w:tcW w:w="1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Palo Alto, California</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Administration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October,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Option to extend for up to two periods of five years each</w:t>
            </w:r>
          </w:p>
        </w:tc>
      </w:tr>
      <w:tr>
        <w:trPr/>
        <w:tc>
          <w:tcPr>
            <w:tcW w:w="1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Redwood City, California</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R&amp;D and laboratory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April,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Option to extend for additional five years</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West Windsor Township, 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Selling and administration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February,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Option to extend for additional five years</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50% of our lease in Palo Alto, California is subleased, with commencement date of January 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lease in Redwood City, California is subleased to Eyconis. See “Item 7 B. Major Shareholders and Related Party Transactions—Related Party Transactions” for more information about Eyconis.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facilities are adequate for our near-term needs. We believe that suitable additional or alternative space would be available if required in the future on commercially reasonable terms. </w:t>
      </w:r>
    </w:p>
    <w:p>
      <w:pPr>
        <w:pStyle w:val="TextBody"/>
        <w:bidi w:val="0"/>
        <w:spacing w:before="360" w:after="283"/>
        <w:jc w:val="left"/>
        <w:rPr>
          <w:rFonts w:ascii="Times New Roman" w:hAnsi="Times New Roman"/>
          <w:sz w:val="20"/>
        </w:rPr>
      </w:pPr>
      <w:bookmarkStart w:id="10" w:name="item_4a_unresolved_staff_comments"/>
      <w:bookmarkEnd w:id="10"/>
      <w:r>
        <w:rPr>
          <w:rFonts w:ascii="Times New Roman" w:hAnsi="Times New Roman"/>
          <w:b/>
          <w:color w:val="000000"/>
          <w:sz w:val="20"/>
        </w:rPr>
        <w:t>Item 4A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1" w:name="item_5_operating_and_financial_review"/>
      <w:bookmarkEnd w:id="11"/>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Operating and Financial Review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“Item 3 D. Key Information—Risk Factors” and “Special Note Regarding Forward-Looking Statements” sections and elsewhere in this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Refer to Part I, Item 5 in our Annual Report on Form 20-F for the financial year ended December 31, 2024 (filed with the SEC on February 12, 2025) for additional discussion of our financial condition and results of operations for the year ended December 31, 2023, as well as our financial condition and results of operations for the year ended December 31, 2024, compared to the year ended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business highlights in 2025, please refer to “Item 4B. Information on the Company—Business Overview.”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sale of commercial products and clinical trial supply is recognized when the customer has obtained control of the goods and it is probable that we will collect the consideration to which we are entitled for transferring the goods. Control is transferred upon delivery. Cost of sales are recognized when the sales take place. Rendering of services is recognized as revenue over the service period as stipulated under the applicable agreement. License agreements which transfer rights to our intellectual property (“IP”) with significant stand-alone value are classified as “right-to-use,” with revenue recognized at the point in time when the customer can use and benefit from the 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operating expenses relate to research and development activities and to selling, general, and administration activities. Research and development expenses (“R&amp;D expenses”) consist primarily of product development and pre-commercial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our IP portfolio, and depreciation of non-current assets used in research and development activities. Selling, general, and administrative expenses (“SG&amp;A expenses”) comprise salaries and other personnel costs including pension and share-based payment, office supplies, cost of facilities, professional fees, and depreciation and amortization of non-current assets related to selling, general, and administrative activities, and pre-commercial and commercial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material portion of our operating expenses are denominated in other currencies than the Euro, which expose our operating expenses to volatility. We do not currently enter into derivative financial instruments to manage our exposure to foreign exchange risks.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assets and liabilities primarily relate to property, plant and equipment, inventories, receivables, prepayments and accruals for development costs, lease liabilities, trade payables, other liabilities, and contract liabilities. Property, plant and equipment primarily relate to leased facilities which are recognized and measured as right-of-use assets. Our receivables and liabilities are exposed to development in foreign currencies, primarily with respect to the U.S. Dollar. Please refer to the “Foreign Currency Risk” section under “Item 11 Quantitative and Qualitative Disclosures about Market Risk” and to Note 18, “Financial Risk Management,” for an analysis of our foreign currency exposure.</w:t>
      </w:r>
    </w:p>
    <w:p>
      <w:pPr>
        <w:pStyle w:val="TextBody"/>
        <w:bidi w:val="0"/>
        <w:spacing w:before="240" w:after="283"/>
        <w:jc w:val="left"/>
        <w:rPr>
          <w:rFonts w:ascii="Times New Roman" w:hAnsi="Times New Roman"/>
          <w:sz w:val="20"/>
        </w:rPr>
      </w:pPr>
      <w:r>
        <w:rPr>
          <w:rFonts w:ascii="Times New Roman" w:hAnsi="Times New Roman"/>
          <w:color w:val="000000"/>
          <w:sz w:val="20"/>
        </w:rPr>
        <w:t>We have built up inventories to support the commercialization of YORVIPATH</w:t>
      </w:r>
      <w:r>
        <w:rPr>
          <w:rFonts w:ascii="Times New Roman" w:hAnsi="Times New Roman"/>
          <w:color w:val="000000"/>
          <w:sz w:val="11"/>
        </w:rPr>
        <w:t xml:space="preserve">® </w:t>
      </w:r>
      <w:r>
        <w:rPr>
          <w:rFonts w:ascii="Times New Roman" w:hAnsi="Times New Roman"/>
          <w:color w:val="000000"/>
          <w:sz w:val="20"/>
        </w:rPr>
        <w:t>and SKYTROFA</w:t>
      </w:r>
      <w:r>
        <w:rPr>
          <w:rFonts w:ascii="Times New Roman" w:hAnsi="Times New Roman"/>
          <w:color w:val="000000"/>
          <w:sz w:val="11"/>
        </w:rPr>
        <w:t>®</w:t>
      </w:r>
      <w:r>
        <w:rPr>
          <w:rFonts w:ascii="Times New Roman" w:hAnsi="Times New Roman"/>
          <w:color w:val="000000"/>
          <w:sz w:val="20"/>
        </w:rPr>
        <w:t xml:space="preserve">. In addition to commercial inventories,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structure consists of equity and external borrowings obtained through issuance of convertible senior notes (“convertible notes”) and royalty funding liabilities. We are not subject to any contractually imposed capital requirements or financial covenants. For further details, please refer to “Item 5 B. Operating and Financial Review and Prospects—Liquidity and Capital Resources” and Note 17, “Financial Assets and Liabilities” for further information about our convertible notes and royalty funding agreements. </w:t>
      </w:r>
    </w:p>
    <w:p>
      <w:pPr>
        <w:pStyle w:val="TextBody"/>
        <w:bidi w:val="0"/>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Financial Highlights</w:t>
      </w:r>
    </w:p>
    <w:tbl>
      <w:tblPr>
        <w:tblW w:w="6997" w:type="dxa"/>
        <w:jc w:val="left"/>
        <w:tblInd w:w="0" w:type="dxa"/>
        <w:tblLayout w:type="fixed"/>
        <w:tblCellMar>
          <w:top w:w="28" w:type="dxa"/>
          <w:left w:w="28" w:type="dxa"/>
          <w:bottom w:w="28" w:type="dxa"/>
          <w:right w:w="28" w:type="dxa"/>
        </w:tblCellMar>
      </w:tblPr>
      <w:tblGrid>
        <w:gridCol w:w="3811"/>
        <w:gridCol w:w="146"/>
        <w:gridCol w:w="901"/>
        <w:gridCol w:w="146"/>
        <w:gridCol w:w="901"/>
        <w:gridCol w:w="146"/>
        <w:gridCol w:w="94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356,491</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305,834</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(163,342)</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142,492</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150,050</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360,094</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expenses comprise research and development expenses and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Compared to the year ended December 31, 2024, revenue for the year ended December 31, 2025, primarily benefited from the continued growth of YORVIPATH global sales. Operating loss was €136.3 million, representing an improvement of €142.5 million compared to December 31, 2024, which, in addition to an increase in revenue, was impacted by higher operating expenses related to commercial expansion. We had a net loss of €228.0 million for the year ended December 31, 2025, which, in addition to operating loss, was driven primarily by non-cash financial items. In addition, net loss was positively impacted by share of profit/(loss) of associates, which includes a non-cash gain of €35.7 million related to the Initial Public Offering of VISEN in March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operating activities were positive for the year ended December 31, 2025 representing an improvement of €360.1 million, compared to last year, attributable to improved operating performance. Refer to section “Liquidity and Capital Resources” for further information.</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Foreign currency translation reduced reported revenue for the year ended December 31, 2025 by €38.9 million compared to last year’s exchange rate. Similarly, operating expenses decreased due to currency translation by €14.6 million compared to last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total equity presented a deficit of €162.8 million as of December 31, 2025, compared to a deficit of €105.7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are described in the following sections.</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revenue for the years ended December 31, 2025 and 2024: </w:t>
      </w:r>
    </w:p>
    <w:tbl>
      <w:tblPr>
        <w:tblW w:w="6183" w:type="dxa"/>
        <w:jc w:val="left"/>
        <w:tblInd w:w="0" w:type="dxa"/>
        <w:tblLayout w:type="fixed"/>
        <w:tblCellMar>
          <w:top w:w="28" w:type="dxa"/>
          <w:left w:w="28" w:type="dxa"/>
          <w:bottom w:w="28" w:type="dxa"/>
          <w:right w:w="28" w:type="dxa"/>
        </w:tblCellMar>
      </w:tblPr>
      <w:tblGrid>
        <w:gridCol w:w="2401"/>
        <w:gridCol w:w="146"/>
        <w:gridCol w:w="146"/>
        <w:gridCol w:w="781"/>
        <w:gridCol w:w="146"/>
        <w:gridCol w:w="146"/>
        <w:gridCol w:w="146"/>
        <w:gridCol w:w="781"/>
        <w:gridCol w:w="146"/>
        <w:gridCol w:w="146"/>
        <w:gridCol w:w="146"/>
        <w:gridCol w:w="84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clinical supply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356,491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year ended December 31, 2025 was €720.1 million, representing an increase of €356.5 million compared to last year. This increase was primarily attributable to the continued growth of YORVIPATH global sales, partly offset by the recognition of a $100 million upfront payment in 2024 related to our exclusive license agreement with Novo Nordisk.</w:t>
      </w:r>
    </w:p>
    <w:p>
      <w:pPr>
        <w:pStyle w:val="TextBody"/>
        <w:bidi w:val="0"/>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from sale of commercial products was as follows:</w:t>
      </w:r>
    </w:p>
    <w:tbl>
      <w:tblPr>
        <w:tblW w:w="6442" w:type="dxa"/>
        <w:jc w:val="left"/>
        <w:tblInd w:w="0" w:type="dxa"/>
        <w:tblLayout w:type="fixed"/>
        <w:tblCellMar>
          <w:top w:w="28" w:type="dxa"/>
          <w:left w:w="28" w:type="dxa"/>
          <w:bottom w:w="28" w:type="dxa"/>
          <w:right w:w="28" w:type="dxa"/>
        </w:tblCellMar>
      </w:tblPr>
      <w:tblGrid>
        <w:gridCol w:w="3616"/>
        <w:gridCol w:w="146"/>
        <w:gridCol w:w="781"/>
        <w:gridCol w:w="146"/>
        <w:gridCol w:w="781"/>
        <w:gridCol w:w="146"/>
        <w:gridCol w:w="82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448,685</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457,844</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year ended December 31, 2025 was €94.9 million, representing an increase of €50.7 million compared to last year. This increase was primarily attributable to increased sales of commercial products and costs under our Strategic Collaborations.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R&amp;D expenses.</w:t>
      </w:r>
    </w:p>
    <w:tbl>
      <w:tblPr>
        <w:tblW w:w="6967" w:type="dxa"/>
        <w:jc w:val="left"/>
        <w:tblInd w:w="0" w:type="dxa"/>
        <w:tblLayout w:type="fixed"/>
        <w:tblCellMar>
          <w:top w:w="28" w:type="dxa"/>
          <w:left w:w="28" w:type="dxa"/>
          <w:bottom w:w="28" w:type="dxa"/>
          <w:right w:w="28" w:type="dxa"/>
        </w:tblCellMar>
      </w:tblPr>
      <w:tblGrid>
        <w:gridCol w:w="4126"/>
        <w:gridCol w:w="146"/>
        <w:gridCol w:w="781"/>
        <w:gridCol w:w="146"/>
        <w:gridCol w:w="781"/>
        <w:gridCol w:w="146"/>
        <w:gridCol w:w="84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Hypoparathyroidism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Disorders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(19,735)</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16,352</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for the year ended December 31, 2025 were €303.6 million representing a decrease of €3.4 million compared to last year. This decrease was primarily due to completion of certain clinical trials and development activities within our Endocrinology Rare Disease pipeline, partly offset by reversal (income) of prior period write-downs related to pre-launch inventories for Hypoparathyroidism in 2024 of €12.6 million due to the launch of YORVIPATH, and by higher employee costs to support future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SG&amp;A expenses:</w:t>
      </w:r>
    </w:p>
    <w:tbl>
      <w:tblPr>
        <w:tblW w:w="7222" w:type="dxa"/>
        <w:jc w:val="left"/>
        <w:tblInd w:w="0" w:type="dxa"/>
        <w:tblLayout w:type="fixed"/>
        <w:tblCellMar>
          <w:top w:w="28" w:type="dxa"/>
          <w:left w:w="28" w:type="dxa"/>
          <w:bottom w:w="28" w:type="dxa"/>
          <w:right w:w="28" w:type="dxa"/>
        </w:tblCellMar>
      </w:tblPr>
      <w:tblGrid>
        <w:gridCol w:w="4396"/>
        <w:gridCol w:w="146"/>
        <w:gridCol w:w="781"/>
        <w:gridCol w:w="146"/>
        <w:gridCol w:w="781"/>
        <w:gridCol w:w="146"/>
        <w:gridCol w:w="826"/>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66,237</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97,727</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166,725</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SG&amp;A expenses for the year ended December 31, 2025 were €457.9 million representing an increase of €166.7 million compared to last year. This increase was primarily due to the continued impact from global commercial expansion, including global launch activities for YORVIPATH.</w:t>
      </w:r>
    </w:p>
    <w:p>
      <w:pPr>
        <w:pStyle w:val="TextBody"/>
        <w:bidi w:val="0"/>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Finance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9502" w:type="dxa"/>
        <w:jc w:val="left"/>
        <w:tblInd w:w="0" w:type="dxa"/>
        <w:tblLayout w:type="fixed"/>
        <w:tblCellMar>
          <w:top w:w="28" w:type="dxa"/>
          <w:left w:w="28" w:type="dxa"/>
          <w:bottom w:w="28" w:type="dxa"/>
          <w:right w:w="28" w:type="dxa"/>
        </w:tblCellMar>
      </w:tblPr>
      <w:tblGrid>
        <w:gridCol w:w="6316"/>
        <w:gridCol w:w="146"/>
        <w:gridCol w:w="901"/>
        <w:gridCol w:w="146"/>
        <w:gridCol w:w="901"/>
        <w:gridCol w:w="146"/>
        <w:gridCol w:w="946"/>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88,390</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(106,660)</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(18,270)</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(109,445)</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(18,270)</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expenses measured under the effective interest method,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in non-cash items was driven primarily by remeasurement loss from financial liabilities, partly offset by translation net-gain of U.S. dollar denominated monetary positions into Euro, primarily cash and cash equivalents, convertible notes and royalty funding liabilities. The development was further driven by amortization charges, accruals, and other items, primarily due to our royalty funding liabilities which we entered into in September 2023 and September 2024.</w:t>
      </w:r>
    </w:p>
    <w:p>
      <w:pPr>
        <w:pStyle w:val="TextBody"/>
        <w:bidi w:val="0"/>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Liquidity and Capital Resources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liquidity and capital resources comprise cash and cash equivalents. As of December 31, 2025, these amounted to €616.0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expenditures primarily relate to research and development activities and selling, general, and administrative activities to support our business, including our continued development of products and product candidates within Endocrinology Rare Disease and Oncology portfolios, the commercialization of YORVIPATH and SKYTROFA, and expenses made in anticipation of potential future product launches. We manage our liquidity risk by maintaining adequate cash reserves. The risk of shortage of funds is monitored, through the financial forecasting process, to ensure sufficient funds are available to settle liabilities as they fall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equity in the consolidated statements of financial position presented a deficit of €162.8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of American Depositary Shares (“ADSs”), latest in September 2024, with total net proceeds of $2,580.2 million (or €2,259.0 million at the time of the offerings). Refer to Note 17, “Financial Assets and Liabilities” for further information about our convertible notes and royalty funding agreements.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cash-forecasts to ensure sufficient cash reserves are available to settle liabilities as they 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our cash requirements primarily relate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Semi-annual interest payments and potential repayment (April 1, 2028) of principal amount of convertible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Royalty Pharma under our royalty funding agreements of 3% on net revenue from sales of YORVIPATH in the U.S., and 9.15% on net revenue from sales of SKYTROFA in the U.S., subject to caps as described in Note 17, “Financial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obligations related to our office, research and development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obligations under our commercial supply agreements and related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activities related to clinical trials for our product candidates in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 integrated organization to support the ongoing commercialization of YORVIPATH and SKYTROFA in the U.S. and Europe;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of the Company’s own ADSs in connection with settlements of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requirements are determined in Euro applying foreign exchange rates at December 31, 2025. Accordingly, actual cash payments are exposed to development in foreign currencies, primarily with respect to the U.S. Dollar. For a description of our exposure to market risks, credit risk and liquidity risk, refer to Note 18, “Financial Risk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borrowings comprise convertible notes, royalty funding liabilities and lease liabilities. As of December 31, 2025, short-term (payable within twelve months after the reporting date) and long-term (payable beyond twelve months after the reporting date) expected cash requirements (on an undiscounted basis) for convertible notes and royalty funding liabilities were €51.1 million and €952.8 million, respectively. Expected maturity for royalty </w:t>
      </w:r>
    </w:p>
    <w:p>
      <w:pPr>
        <w:pStyle w:val="TextBody"/>
        <w:bidi w:val="0"/>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funding liabilities is based on anticipated amount and timing of future revenue from sale of commercial products. Further details regarding the payment structure of the royalty funding agreements and convertible notes are provided in Note 17, “Financial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length of non-cancellable leases is up to 15 years. Our cash requirements for lease obligations (on an undiscounted basis) are €20.4 million and €176.2 million, for short-term and long-term, respectively. In addition, our lease obligations establish ancillary contractual commitments in relation to utilities, maintenance, levies, and other services. Further, we have commitments related to short-term leases and leases of low value assets, IT and facility related services. Costs relating to those commitments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long-term commercial supply agreements, primarily related to commercial manufacturing of YORVIPATH and SKYTROFA. Commercial supply agreements may include purchase obligations, usually determined on binding and non-binding supply forecasts, that are subject to continuous negotiation and adjustments according to individual contractual terms and conditions. As of December 31, 2025, our short-term and long-term cash requirements were €46.3 million and €120.3 million, respectively, excluding non-binding commitments for purchase of raw materials and intermediates used in the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ordinary activities, we engage third-party CROs to perform clinical trial activities, which primarily are studies for more than one year. We are not subject to contingent liabilities from potential milestone payments related to in-licensing of 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entered into any off-balance sheet arrangements or any holdings in variable interest entities. In addition, we are not aware of any significant legal claims or disputes.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currently estimate that our existing cash and cash equivalents will be sufficient to fund our operations for at least twelve months from the date of this annual report. However, our operating plan and actual cash requirements may change as a result of many factors. For example our future funding requirements will depend on many factors, including, but not limited to those described in “Item 3.D – Key Information—Risk Factors—Risks Related to Our Limited Operating History, Financial Condition and Capital Requirements”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years ended December 31, 2025 and 2024: </w:t>
      </w:r>
    </w:p>
    <w:tbl>
      <w:tblPr>
        <w:tblW w:w="7948" w:type="dxa"/>
        <w:jc w:val="left"/>
        <w:tblInd w:w="0" w:type="dxa"/>
        <w:tblLayout w:type="fixed"/>
        <w:tblCellMar>
          <w:top w:w="28" w:type="dxa"/>
          <w:left w:w="28" w:type="dxa"/>
          <w:bottom w:w="28" w:type="dxa"/>
          <w:right w:w="28" w:type="dxa"/>
        </w:tblCellMar>
      </w:tblPr>
      <w:tblGrid>
        <w:gridCol w:w="4171"/>
        <w:gridCol w:w="146"/>
        <w:gridCol w:w="146"/>
        <w:gridCol w:w="676"/>
        <w:gridCol w:w="166"/>
        <w:gridCol w:w="146"/>
        <w:gridCol w:w="146"/>
        <w:gridCol w:w="841"/>
        <w:gridCol w:w="166"/>
        <w:gridCol w:w="146"/>
        <w:gridCol w:w="146"/>
        <w:gridCol w:w="841"/>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operating activities for the year ended December 31, 2025 were €53.9 million, representing an improvement of €360.1 million compared to last year, of which €182.0 million related to improved operating performance, primarily driven by commercial revenue growth, and €178.1 million related to working capital improvements, which include settlement of the upfront payment from our exclusive license agreement with Novo Nordisk of $100 million plus related indirect taxes.</w:t>
      </w:r>
    </w:p>
    <w:p>
      <w:pPr>
        <w:pStyle w:val="TextBody"/>
        <w:bidi w:val="0"/>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investing activities for the year ended December 31, 2025 were €8.5 million, representing an increase of €15.4 million compared to last year. This increase was primarily attributable to €7.3 million settlements of marketable securities in 2024 and from leasehold improvements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financing activities for the year ended December 31, 2025, were €36.3 million, representing a decrease of €407.6 million compared to the last year. This decrease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follow-on public offering of ADSs with net proceeds of €290.6 million and the $150.0 million capped synthetic royalty funding agreement with Royalty Pharma, with net proceeds of €134.2 million, both completed in September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of treasury shares of €17.4 million in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withholding taxes under stock incentive programs of €11.4 million in 2025, partly offset by increased warrant exercise activity of €56.6 million in 2025.</w:t>
      </w:r>
    </w:p>
    <w:p>
      <w:pPr>
        <w:pStyle w:val="TextBody"/>
        <w:bidi w:val="0"/>
        <w:spacing w:before="36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Research and Development, Patents and Licenses, etc.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“Item 4 B. Information on the Company—Business Overview” and “Item 5 A. Operating and Financial Review and Prospects – Operating Results—Financial Operations Overview—Research and Development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Trend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“Item 5 A. Operating and Financial Review and Prospects—Operating Results.” </w:t>
      </w:r>
    </w:p>
    <w:p>
      <w:pPr>
        <w:pStyle w:val="TextBody"/>
        <w:bidi w:val="0"/>
        <w:spacing w:before="360" w:after="283"/>
        <w:jc w:val="left"/>
        <w:rPr>
          <w:rFonts w:ascii="Times New Roman" w:hAnsi="Times New Roman"/>
          <w:sz w:val="20"/>
        </w:rPr>
      </w:pPr>
      <w:r>
        <w:rPr>
          <w:rFonts w:ascii="Times New Roman" w:hAnsi="Times New Roman"/>
          <w:b/>
          <w:color w:val="000000"/>
          <w:sz w:val="20"/>
        </w:rPr>
        <w:t>E. 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are prepared in accordance with the IFRS Accounting Standards (“IFRS”), as issued by the International Accounting Standards Board (“IASB”), and as adopted by the European Union (“EU”). A description of critical accounting estimates is provided in Note 3, “Significant Accounting Judgements and Estimates” under the Significant Estimation Uncertainties sub-section in the audited consolidated financial statements as of and for the years ended December 31, 2025, 2024 and 2023, of this annual report. </w:t>
      </w:r>
    </w:p>
    <w:p>
      <w:pPr>
        <w:pStyle w:val="TextBody"/>
        <w:bidi w:val="0"/>
        <w:spacing w:before="360" w:after="283"/>
        <w:jc w:val="left"/>
        <w:rPr>
          <w:rFonts w:ascii="Times New Roman" w:hAnsi="Times New Roman"/>
          <w:sz w:val="20"/>
        </w:rPr>
      </w:pPr>
      <w:bookmarkStart w:id="12" w:name="item_6_directors_senior_management"/>
      <w:bookmarkEnd w:id="12"/>
      <w:r>
        <w:rPr>
          <w:rFonts w:ascii="Times New Roman" w:hAnsi="Times New Roman"/>
          <w:b/>
          <w:color w:val="000000"/>
          <w:sz w:val="20"/>
        </w:rPr>
        <w:t>Item 6 Directors, Senior Management and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Directors and Senior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 </w:t>
      </w:r>
    </w:p>
    <w:p>
      <w:pPr>
        <w:pStyle w:val="TextBody"/>
        <w:bidi w:val="0"/>
        <w:spacing w:before="360" w:after="283"/>
        <w:jc w:val="left"/>
        <w:rPr>
          <w:rFonts w:ascii="Times New Roman" w:hAnsi="Times New Roman"/>
          <w:sz w:val="20"/>
        </w:rPr>
      </w:pPr>
      <w:r>
        <w:rPr>
          <w:rFonts w:ascii="Times New Roman" w:hAnsi="Times New Roman"/>
          <w:b/>
          <w:color w:val="000000"/>
          <w:sz w:val="20"/>
        </w:rPr>
        <w:t>Members of Our Board of Directors, Executive Board and Senior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with respect to each of our current board members as of the date of this annual report. All members of our board of directors are elected for one year and eligible for re-election at each annual general meeting. Our board of directors currently consists of six members. </w:t>
      </w:r>
    </w:p>
    <w:p>
      <w:pPr>
        <w:pStyle w:val="TextBody"/>
        <w:bidi w:val="0"/>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business address of our board members is our registered office address at Tuborg Boulevard 12, DK-2900 Hellerup, Denmark. </w:t>
      </w:r>
    </w:p>
    <w:tbl>
      <w:tblPr>
        <w:tblW w:w="7225" w:type="dxa"/>
        <w:jc w:val="left"/>
        <w:tblInd w:w="0" w:type="dxa"/>
        <w:tblLayout w:type="fixed"/>
        <w:tblCellMar>
          <w:top w:w="28" w:type="dxa"/>
          <w:left w:w="28" w:type="dxa"/>
          <w:bottom w:w="28" w:type="dxa"/>
          <w:right w:w="28" w:type="dxa"/>
        </w:tblCellMar>
      </w:tblPr>
      <w:tblGrid>
        <w:gridCol w:w="2026"/>
        <w:gridCol w:w="146"/>
        <w:gridCol w:w="391"/>
        <w:gridCol w:w="146"/>
        <w:gridCol w:w="451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Board Member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Cha,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Board Member</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Bright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Carl Fairey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Lars Holtug, M.Sc.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Siham Imani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Møller Mikkelsen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Board Member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brief summary of the business experience of our non-employee board members.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Albert Cha, M.D., Ph.D. </w:t>
      </w:r>
      <w:r>
        <w:rPr>
          <w:rFonts w:ascii="Times New Roman" w:hAnsi="Times New Roman"/>
          <w:color w:val="000000"/>
          <w:sz w:val="20"/>
        </w:rPr>
        <w:t xml:space="preserve">has served as a member of our board of directors since November 2014 and as the Chairman of our board of directors since May 2021. Dr. Cha is a Managing Partner with Frazier Life Sciences. He previously was a managing partner at Vivo Capital LLC, a healthcare investment firm, where he has served in various positions, most recently as a managing partner. Dr. Cha previously served as a member of the board of directors of KalVista Pharmaceuticals, Inc., Aclaris Therapeutics, a publicly traded dermatology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Lisa Bright </w:t>
      </w:r>
      <w:r>
        <w:rPr>
          <w:rFonts w:ascii="Times New Roman" w:hAnsi="Times New Roman"/>
          <w:color w:val="000000"/>
          <w:sz w:val="20"/>
        </w:rPr>
        <w:t>has served as a member of our board of directors since April 2017. Ms. Bright has over 30 years of executive experience in global life sciences companies and over five years’ experience serving as a member of the board of directors of a number of public and private companies. Ms. Bright is currently on the board of Immedica Pharma AB, a pharmaceutical company, and serves as Chair of the board of Metadeq Inc, a medical diagnostics company and DRI Capital, a private equity fund. She previously served as the Chair of the board of Resolution Therapeutics Ltd, a biotechnology company, and as a Non-Executive Director of Dechra Pharmaceuticals PLC, a veterinary pharmaceutical company. She is also an Executive Partner to Syncona Limited, an investment trust dedicated to life science investments. Previously, she served as President International for Intercept Pharmaceuticals, Inc., a biopharmaceutical company, from July 2016 to January 2021, and from November 2014 to July 2016 as Chief Commercial and Corporate Affairs Officer and Senior Vice President, Head of EUCA. During her tenure at Intercept, Ms. Bright oversaw the development of the global launch of an orphan medicine in the United States and Europe, including building the commercial organization in the United States and establishing legal affiliates and teams across Europe and Canada.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pStyle w:val="TextBody"/>
        <w:bidi w:val="0"/>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William Carl Fairey Jr.</w:t>
      </w:r>
      <w:r>
        <w:rPr>
          <w:rFonts w:ascii="Times New Roman" w:hAnsi="Times New Roman"/>
          <w:color w:val="000000"/>
          <w:sz w:val="20"/>
        </w:rPr>
        <w:t xml:space="preserve"> has served as a member of our board of directors since September 2022. Mr. Fairey currently serves as Executive Chairman of Respira Therapeutics, Inc., a clinical-stage company developing inhaled therapeutics for cardiopulmonary diseases, a position he has held since January 2022. Since August 2021, Mr. Fairey has also served as a director of Mirum Pharmaceuticals, a publicly-traded biotechnology company developing therapies for rare liver diseases; since November 2023, he has served on the board of REIN Therapeutics, a public clinical-stage biopharmaceutical company; and since June 2024, he has served on the board of KalVista, a publicly-traded pharmaceutical company developing therapies for hereditary angioedema. Prior to Respira, Mr. Fairey was Executive Vice President and Chief Commercial Officer of MyoKardia, Inc., a publicly-traded clinical-stage biopharmaceutical company, from January 2019 until November 2020 when the company was acquired by Bristol-Myers Squibb. From January 2018 until January 2019, Mr. Fairey served as Executive Vice President and Chief Operating Officer of ChemoCentryx, Inc., a publicly-traded biopharmaceutical company developing therapeutics to treat autoimmune diseases, inflammatory disorders and cancer, primarily focused on orphan and rare diseases. Before ChemoCentryx, between 2001 and 2017, Mr. Fairey served in various positions of increasing responsibility at Actelion Pharmaceuticals, including as President of Actelion’s U.S. division, as well as Vice President, Asia Pacific Region, Managing Director and Vice President, Australia Asia Pacific Region, President of Actelion Canada, and Vice President, US Sales and Managed Markets. Mr. Fairey began his pharmaceutical career as Business Director, Healthcare Management for the Parke-Davis Division of Warner-Lambert between 1988 and 2000. Mr. Fairey received a B.S. in Biology from the University of Oregon and an M.B.A. from Saint Mary’s College of California.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Lars Holtug, M.Sc. </w:t>
      </w:r>
      <w:r>
        <w:rPr>
          <w:rFonts w:ascii="Times New Roman" w:hAnsi="Times New Roman"/>
          <w:color w:val="000000"/>
          <w:sz w:val="20"/>
        </w:rPr>
        <w:t xml:space="preserve">has served as a member of our board of directors since November 2018. Mr. Holtug was a partner at PricewaterhouseCoopers Statsautoriseret Revisionspartnerselskab (“PwC”) from 1993 to 2015. Mr. Holtug also currently serves as chairman of Erhvervsinvest Management A/S, a private equity firm, Gaming Investment A/S, a gaming solutions provider, and its seven subsidiaries, and of Caretag A/S, a healthcare technology company. Mr. Holtug also currently serves as a board member of Evaxion Biotech A/S, as well as the Audit Committee Chair and Remuneration Committee member.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Statsautoriseret Revisorer) from 1998 to 2002, and a member of the Auditing Standards Board from 1993 to 1998. Mr. Holtug holds an M.Sc. from Copenhagen Business School and is educated as a state authorized public accountant in Denmark. </w:t>
      </w:r>
    </w:p>
    <w:p>
      <w:pPr>
        <w:pStyle w:val="TextBody"/>
        <w:bidi w:val="0"/>
        <w:spacing w:before="240" w:after="283"/>
        <w:jc w:val="left"/>
        <w:rPr>
          <w:rFonts w:ascii="Times New Roman" w:hAnsi="Times New Roman"/>
          <w:sz w:val="20"/>
        </w:rPr>
      </w:pPr>
      <w:r>
        <w:rPr>
          <w:rFonts w:ascii="Times New Roman" w:hAnsi="Times New Roman"/>
          <w:b/>
          <w:color w:val="000000"/>
          <w:sz w:val="20"/>
        </w:rPr>
        <w:t>Siham Imani</w:t>
      </w:r>
      <w:r>
        <w:rPr>
          <w:rFonts w:ascii="Times New Roman" w:hAnsi="Times New Roman"/>
          <w:color w:val="000000"/>
          <w:sz w:val="20"/>
        </w:rPr>
        <w:t xml:space="preserve"> has served as a member of our board of directors since September 2022. Ms. Imani currently serves as Executive Vice President of Strategy, Sustainability and Growth at Chiesi Farmaceutici S.p.A., a pharmaceutical company. Before joining Chiesi, Ms. Imani was EVP Corporate Strategy &amp; Business Development at Servier, where she contributed to the Group transformation as a leader in Cardio Metabolism and Oncology. Prior to Servier, Ms. Imani held various positions of increasing responsibility at Ipsen, a French pharmaceutical company specializing in oncology, neuroscience and rare diseases, including Vice President European Business Unit Pediatric Endocrinology, Vice President Commercial Transformation &amp; Support, Vice President Corporate Strategic Planning and Executive Committee Secretary, from 2011 until April 2017. Ms. Imani also worked for Pierre Fabre and Biosense Webster, part of the Johnson &amp; Johnson Family of Companies, from 2005 to 2010. Ms. Imani is also a board member at Lapropan, a pharmaceutical company. Ms. Imani received a Master in Economics and a Master in Chemistry from École Polytechnique in Palaiseau, France and an M.B.A. from Stanford University.</w:t>
      </w:r>
    </w:p>
    <w:p>
      <w:pPr>
        <w:pStyle w:val="TextBody"/>
        <w:bidi w:val="0"/>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Executive Board and Senior Management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information with respect to each of the members of our senior management as of the date of this annual report. In addition to serving as members of our senior management, Mr. Mikkelsen, Mr. Smith, Mr. Wolff Jensen, and Ms. Sønderbjerg serve as the members of our executive board. The business address of these individuals is our registered office address at Tuborg Boulevard 12, DK-2900 Hellerup, Denmark. </w:t>
      </w:r>
    </w:p>
    <w:tbl>
      <w:tblPr>
        <w:tblW w:w="9250" w:type="dxa"/>
        <w:jc w:val="left"/>
        <w:tblInd w:w="0" w:type="dxa"/>
        <w:tblLayout w:type="fixed"/>
        <w:tblCellMar>
          <w:top w:w="28" w:type="dxa"/>
          <w:left w:w="28" w:type="dxa"/>
          <w:bottom w:w="28" w:type="dxa"/>
          <w:right w:w="28" w:type="dxa"/>
        </w:tblCellMar>
      </w:tblPr>
      <w:tblGrid>
        <w:gridCol w:w="2536"/>
        <w:gridCol w:w="146"/>
        <w:gridCol w:w="391"/>
        <w:gridCol w:w="146"/>
        <w:gridCol w:w="603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Møller Mikkelsen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Board Member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Jethro Ekuta, D.V.M.,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Regulatory &amp; Safety Officer</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Sherrie Glass, 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Flemming Steen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Product Supply and Quality</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 L.L.M.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Stina Singel,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Head of Clinical Development, Oncology</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Lotte Sønderbjerg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Administrative Officer</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Kennett Sprogøe,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Head of Innovation and Research</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Aimee Shu,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Medical Officer</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Donovan Wu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U.S. President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Mads Bodenhoff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Head of Finance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brief summary of the business experience of our senior management and executive board.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Jan Møller Mikkelsen </w:t>
      </w:r>
      <w:r>
        <w:rPr>
          <w:rFonts w:ascii="Times New Roman" w:hAnsi="Times New Roman"/>
          <w:color w:val="000000"/>
          <w:sz w:val="20"/>
        </w:rPr>
        <w:t xml:space="preserve">founded Ascendis Pharma and has served as President and Chief Executive Officer as well as a Board member since December 2007.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Jethro Ekuta, D.V.M., Ph.D. </w:t>
      </w:r>
      <w:r>
        <w:rPr>
          <w:rFonts w:ascii="Times New Roman" w:hAnsi="Times New Roman"/>
          <w:color w:val="000000"/>
          <w:sz w:val="20"/>
        </w:rPr>
        <w:t>has served as Chief Regulatory &amp; Safety Officer at Ascendis Pharma since November 2024, where he heads Global Regulatory Affairs &amp; Pharmacovigilance. Prior to joining Ascendis, Dr. Ekuta was Vice President, Head of Regulatory Science Delivery at Alexion, AstraZeneca Rare Disease from 2019 to 2024, where he built Global Labeling, Established Products, and Advertising and Compliance Teams; served as US Regulatory Lead; and led various initiatives related to process improvement, talent development, and integrations and acquisitions. From 2018 to 2019, he served as Senior Vice President, Global Head of Regulatory, Safety and Standards at Horizon Therapeutics. Before Horizon, he held Regulatory and Pharmacovigilance roles of increasing responsibility at companies that included Johnson &amp; Johnson, Genzyme-Sanofi, Bristol-Myers Squibb, Pfizer, and Procter &amp; Gamble Pharmaceuticals. Prior to joining industry, Dr. Ekuta was a Staff Fellow in Clinical Pharmacology at the Center for Drug Evaluation and Research (CDER), US Food and Drug Administration (FDA). He completed his U.S. National Institutes of Health (NIH)-sponsored post-doctoral fellowship training in neuropharmacology and cardiovascular pharmacology at Meharry Medical College, and an FDA-sponsored post-doctoral fellowship in clinical pharmacology at Vanderbilt University Medical Center. Dr. Ekuta holds a Doctor of Veterinary Medicine (D.V.M.) degree from Ahmadu Bello University, a Ph.D. in Pharmacology &amp; Toxicology from the University of Mississippi, and an Executive MBA from Quantic School of Business and Technology. He is certified in Regulatory Affairs (RAC) and is an inaugural Fellow of the Regulatory Affairs Professionals Society (FRAPS). Dr. Ekuta has served as President, RAPS Board of Directors from 2023 to 2024 and currently serves as Chair of the Board.</w:t>
      </w:r>
    </w:p>
    <w:p>
      <w:pPr>
        <w:pStyle w:val="TextBody"/>
        <w:bidi w:val="0"/>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Sherrie Glass, MPA </w:t>
      </w:r>
      <w:r>
        <w:rPr>
          <w:rFonts w:ascii="Times New Roman" w:hAnsi="Times New Roman"/>
          <w:color w:val="000000"/>
          <w:sz w:val="20"/>
        </w:rPr>
        <w:t>has served as Chief Business Officer at Ascendis Pharma since September 2024. Prior to joining Ascendis, Ms. Glass was Senior Vice President, Enterprise Strategy, Strategy and Business Development at Bristol Myers Squibb from May 2021 to March 2024.From January 2019 to May 2021, Ms. Glass served as Vice President, Managed Markets Pipeline Access and Strategy at Allergan (acquired by AbbVie in May 2020). From November 2015 to December 2018, Ms. Glass served as Vice President, Strategy and Corporate Initiatives at Allergan. Prior to Allergan, Ms. Glass was a Principal at The Boston Consulting Group from 2011 to 2015. Ms. Glass received her Master of Public Administration from Princeton University and Bachelor of Arts in History and Religious Studies from Brown University.</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Flemming Steen Jensen </w:t>
      </w:r>
      <w:r>
        <w:rPr>
          <w:rFonts w:ascii="Times New Roman" w:hAnsi="Times New Roman"/>
          <w:color w:val="000000"/>
          <w:sz w:val="20"/>
        </w:rPr>
        <w:t xml:space="preserve">has served as our Executive Vice President, Product Supply and Quality since January 2023 and previously served as our Senior Vice President, Product Supply and Quality from August 2015 until January 2023. Prior to this, Mr. Jensen served as 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Mr. Jensen is also a member of various boards of directors of companies in the life sciences industry. Mr. Jensen holds a M.Sc. in Pharmacy from the University of Copenhagen.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Michael Wolff Jensen, L.L.M. </w:t>
      </w:r>
      <w:r>
        <w:rPr>
          <w:rFonts w:ascii="Times New Roman" w:hAnsi="Times New Roman"/>
          <w:color w:val="000000"/>
          <w:sz w:val="20"/>
        </w:rPr>
        <w:t xml:space="preserve">has served as our Executive Vice President, Chief Legal Officer since January 2023 and previously served as our Senior Vice President, Chief Legal Officer from June 2013 until January 2023. Mr. Jensen also served as Chairman of the board of VISEN Pharmaceuticals until June 2025. In addition, Mr. Jensen served as Chairman of our board of directors from January 2008 to May 2021 and as our Acting Chief Financial Officer from May 2008 to June 2013.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from 2000 to 2003. Mr. Jensen received an L.L.M. degree from the University of Copenhagen. </w:t>
      </w:r>
    </w:p>
    <w:p>
      <w:pPr>
        <w:pStyle w:val="TextBody"/>
        <w:bidi w:val="0"/>
        <w:spacing w:before="240" w:after="283"/>
        <w:jc w:val="left"/>
        <w:rPr>
          <w:rFonts w:ascii="Times New Roman" w:hAnsi="Times New Roman"/>
          <w:sz w:val="20"/>
        </w:rPr>
      </w:pPr>
      <w:r>
        <w:rPr>
          <w:rFonts w:ascii="Times New Roman" w:hAnsi="Times New Roman"/>
          <w:b/>
          <w:color w:val="000000"/>
          <w:sz w:val="20"/>
        </w:rPr>
        <w:t>Stina Singel, M.D., Ph.D.</w:t>
      </w:r>
      <w:r>
        <w:rPr>
          <w:rFonts w:ascii="Times New Roman" w:hAnsi="Times New Roman"/>
          <w:color w:val="000000"/>
          <w:sz w:val="20"/>
        </w:rPr>
        <w:t xml:space="preserve"> has served as our Executive Vice President, Head of Clinical Development, Oncology, since January 2023 and previously served as our Senior Vice President, Head of Clinical Development, Oncology, from January 2022 until January 2023 and as our Head of Clinical Development, Oncology, from May 2020 to January 2022. Prior to joining Ascendis, Dr. Singel served as Senior Vice President and Head of Clinical Development and Drug Safety at Nektar Therapeutics, a biopharmaceutical company, from April 2019 to May 2020. From March 2014 to April 2019, Dr. Singel held various positions of increasing responsibility at Genentech, a biotechnology company, ending her tenure as Senior Medical Director. From 2017 to 2019, Dr. Singel also served as an Adjunct Clinical Instructor at the Stanford University School of Medicine. Prior to Genentech, Dr. Singel was an Attending Physician and Clinical Translational Researcher focused on breast oncology at the University of Texas Southwestern Medical Center from 2010 to 2014 and was a Medical Oncologist at Washington Hematology Oncology, a community practice in Yakima, Washington, from 2008 to 2010. Dr. Singel received her M.D. and Ph.D. degrees from the University of California, San Diego, where she also completed her internal medicine residency and medical oncology fellowship. She received her B.S. in Biology (magna cum laude) from Harvard University.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Scott T. Smith </w:t>
      </w:r>
      <w:r>
        <w:rPr>
          <w:rFonts w:ascii="Times New Roman" w:hAnsi="Times New Roman"/>
          <w:color w:val="000000"/>
          <w:sz w:val="20"/>
        </w:rPr>
        <w:t xml:space="preserve">has served as our Executive Vice President and Chief Financial Officer since January 2023 and previously served as our Senior Vice President and Chief Financial Officer from August 2016 until January 2023. Previously, Mr. Smith served as Director of the 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graduated magna cum laude with a B.A. in Economics/Accounting-Physics from Claremont McKenna College. </w:t>
      </w:r>
    </w:p>
    <w:p>
      <w:pPr>
        <w:pStyle w:val="TextBody"/>
        <w:bidi w:val="0"/>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Lotte Sønderbjerg </w:t>
      </w:r>
      <w:r>
        <w:rPr>
          <w:rFonts w:ascii="Times New Roman" w:hAnsi="Times New Roman"/>
          <w:color w:val="000000"/>
          <w:sz w:val="20"/>
        </w:rPr>
        <w:t xml:space="preserve">has served as our Executive Vice President, Chief Administrative Officer since January 2023 and previously served as our Senior Vice President, Chief Administrative Officer from December 2007 until January 2023. Mrs. Sønderbjerg is also Managing Director of Ascendis Pharma GmbH. Prior to joining Ascendis,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and PA to leading audit partner in PricewaterhouseCoopers LLP in Denmark. Mrs. Sønderbjerg received a Masters of Arts in International Business Communications from University of Aarhus.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Kennett Sprogøe, Ph.D. </w:t>
      </w:r>
      <w:r>
        <w:rPr>
          <w:rFonts w:ascii="Times New Roman" w:hAnsi="Times New Roman"/>
          <w:color w:val="000000"/>
          <w:sz w:val="20"/>
        </w:rPr>
        <w:t xml:space="preserve">has held positions of increasing responsibility at Ascendis Pharma since December 2007, including serving as our Executive Vice President, Head of Innovation and Research since January 2023, Senior Vice President, Head of Innovation and Research from 2019 until January 2023, Senior Vice President of Product Innovation since January 2016 and Vice President Product Innovation since June 2014. Prior to joining Ascendis,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Aimee Shu, M.D. </w:t>
      </w:r>
      <w:r>
        <w:rPr>
          <w:rFonts w:ascii="Times New Roman" w:hAnsi="Times New Roman"/>
          <w:color w:val="000000"/>
          <w:sz w:val="20"/>
        </w:rPr>
        <w:t>has served as Executive Vice President of Endocrine and Rare Disease Medical Sciences and Chief Medical Officer since November 2024 after holding positions of increasing responsibility since joining the Company in July 2017. These include Vice President and Head of Clinical Development, Endocrinology from May 2022 to November 2024, Vice President, Clinical Development, Endocrine Medical Sciences from January 2021 to November 2024, Senior Medical Director, Clinical Development from January 2019 to December 2020 and Medical Director, Clinical Development from July 2017 to December 2018. Dr. Shu has also served as Clinical Associate Professor of Medicine, Division of Endocrinology at Stanford University School of Medicine since November 2016 and has held positions of increasing responsibility at Stanford since November 2012, including Associate Program Director, Endocrinology Training Fellowship Training Program from July 2015 to July 2017 and Clinical Assistant Professor of Medicine, Division of Endocrinology from November 2012 to October 2016. Prior to 2012, Dr. Shu served as Assistant Professor of Medicine, Division of Endocrinology at Baylor College of Medicine from February 2011 to December 2011 and as Assistant Professor of Clinical Medicine at Columbia University College of Physicians &amp; Surgeons from July 2009 to June 2010. Dr. Shu received her A.B. from Princeton University and her M.D. from Harvard Medical School before completing her residency at Brigham and Women’s Hospital and a Fellowship in Endocrinology at Columbia University Medical Center.</w:t>
      </w:r>
    </w:p>
    <w:p>
      <w:pPr>
        <w:pStyle w:val="TextBody"/>
        <w:bidi w:val="0"/>
        <w:spacing w:before="240" w:after="283"/>
        <w:jc w:val="left"/>
        <w:rPr>
          <w:rFonts w:ascii="Times New Roman" w:hAnsi="Times New Roman"/>
          <w:sz w:val="20"/>
        </w:rPr>
      </w:pPr>
      <w:r>
        <w:rPr>
          <w:rFonts w:ascii="Times New Roman" w:hAnsi="Times New Roman"/>
          <w:b/>
          <w:color w:val="000000"/>
          <w:sz w:val="20"/>
        </w:rPr>
        <w:t>Jay Donovan Wu</w:t>
      </w:r>
      <w:r>
        <w:rPr>
          <w:rFonts w:ascii="Times New Roman" w:hAnsi="Times New Roman"/>
          <w:color w:val="000000"/>
          <w:sz w:val="20"/>
        </w:rPr>
        <w:t xml:space="preserve"> has served as Executive Vice President and U.S. President at Ascendis Pharma since January 2025. Prior to joining Ascendis, Mr. Wu served in various positions of increasing responsibility at Genentech, Inc., a biotechnology company, from July 2012 to January 2025, ending his tenure as Vice President, Head of Rare Diseases Portfolio. Prior to this, Mr. Wu served as a Consultant at Bain &amp; Company. Mr. Wu received a BA in Neuroscience and a BSEc in Finance from the University of Pennsylvania, Wharton School and an MBA from Stanford Graduate School of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Mads Bodenhoff </w:t>
      </w:r>
      <w:r>
        <w:rPr>
          <w:rFonts w:ascii="Times New Roman" w:hAnsi="Times New Roman"/>
          <w:color w:val="000000"/>
          <w:sz w:val="20"/>
        </w:rPr>
        <w:t>has served as Senior Vice President, Head of Finance and Principal Accounting Officer at Ascendis Pharma since March 2024. Mr. Bodenhoff served as Senior Vice President and Head of Finance of the Company from June 2021 to March 2024. From March 2018 to June 2021, Mr. Bodenhoff served as Chief Financial Officer at NKT Photonics A/S. From September 2014 to February 2018, Mr. Bodenhoff served as Chief Financial Officer at Xellia Pharmaceuticals, a subsidiary of Novo Holdings A/S. From 2007 to 2014, Mr. Bodenhoff served as Vice President Finance and Vice President Corporate Finance at Novozymes A/S, a global biotechnology company. Prior to this, Mr. Bodenhoff had leading financial roles for Novozymes within China and Asia Pacific and Latin and North America. Mr. Bodenhoff currently serves on the board of 4XROBOTS A/S and Optheras A/S. Mr. Bodenhoff received a Bachelor in Economics from Handelshøjskolen in Slagelse and a Master’s Degree in Business Economics and Auditing from Copenhagen Business School. Mr. Bodenhoff further is educated as a state authorized public accountant in Denmark.</w:t>
      </w:r>
    </w:p>
    <w:p>
      <w:pPr>
        <w:pStyle w:val="TextBody"/>
        <w:bidi w:val="0"/>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Compensation of Members of Our Board of Directors and Senior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objective of our board of directors and senior management (executive board and non-executive senior management) compensation program is to attract, motivate, reward and retain the managerial talent needed to achieve our business objectives. In addition, the compensation program is intended to compensate all employees at competitive market rates, while recognizing extraordinary accomplishments.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to our senior management comprises salaries, participation in annual bonus schemes, pensions (defined contributions plans), and share-based compensation. Compensation to our board of directors comprises fees and salaries for their membership of the board and committee work, as applicable, and share-based compensation. Mr. Mikkelsen did not receive any separate compensation in respect of his service on the board. Share-based compensation is elaborated in further details in Note 8, “Share-based Payment.”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Compensation cost to the board of directors and senior management is summarized below: </w:t>
      </w:r>
    </w:p>
    <w:tbl>
      <w:tblPr>
        <w:tblW w:w="11092" w:type="dxa"/>
        <w:jc w:val="left"/>
        <w:tblInd w:w="0" w:type="dxa"/>
        <w:tblLayout w:type="fixed"/>
        <w:tblCellMar>
          <w:top w:w="28" w:type="dxa"/>
          <w:left w:w="28" w:type="dxa"/>
          <w:bottom w:w="28" w:type="dxa"/>
          <w:right w:w="28" w:type="dxa"/>
        </w:tblCellMar>
      </w:tblPr>
      <w:tblGrid>
        <w:gridCol w:w="1336"/>
        <w:gridCol w:w="146"/>
        <w:gridCol w:w="146"/>
        <w:gridCol w:w="571"/>
        <w:gridCol w:w="146"/>
        <w:gridCol w:w="146"/>
        <w:gridCol w:w="146"/>
        <w:gridCol w:w="571"/>
        <w:gridCol w:w="146"/>
        <w:gridCol w:w="146"/>
        <w:gridCol w:w="146"/>
        <w:gridCol w:w="571"/>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Board of Directors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Executive Board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Non-executive Senior Management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(defined</w:t>
              <w:br/>
              <w:t>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employee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Board of Directors comprised six members for all years presented.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Executive Board comprised four members for all years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Wages and salaries for our senior management set forth in the table above includes bonuses of €5.8 million, €3.0 million and €3.9 million for the years ended December 31, 2025, December 31, 2024 and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 2025, our board of directors granted an aggregate of 15,520 Restricted Stock Units (“RSUs”) to certain non-employee board members of the company and 122,915 RSUs to certain members of senior management. The aggregate grant date fair value of the RSUs granted was €20.8 million. Also on March 1, 2025, our board of directors granted an aggregate of 73,583 Performance Stock Units (“PSUs”) to certain members of senior management. The aggregate grant date fair value of the PSUs was €11.1 million. As of December 31, 2025, a total of 33,491 RSUs and 270,950 RSUs were outstanding for non-employee board members and members of senior management, respectively, and a total of 162,843 PSUs were outstanding for members of senior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 total of 127,886 warrants and 1,575,143 warrants were outstanding for non-employee board members and members of senior management, respectively. On January 14, 2025, our board of directors granted 45,078 warrants to a new non-executive member of senior management with an exercise price per share of $131.57 (€128.42). The aggregate fair value of the warrants granted was €2.8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amount set aside or accrued by us to provide pension, retirement or similar benefits for the members of our board of directors and members of senior management for the year ended December 31, 2025 was €0. </w:t>
      </w:r>
    </w:p>
    <w:p>
      <w:pPr>
        <w:pStyle w:val="TextBody"/>
        <w:bidi w:val="0"/>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Senior Management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employment or service agreements with our senior management, which are subject to termination and/or notice periods. Mr. Mikkelsen’s employment agreement contains a notice period of six months if terminated by Mr. Mikkelsen and twelve months if terminated by Ascendis Pharma. In addition, in case of a change of control (“change in control period”), Ascendis Pharma would for a period of 12 months have to observe an 18 months’ notice period. Should the position and responsibilities be changed during such change of control period (excluding insignificant changes) Mr. Mikkelsen will be entitled to regard his employment as having been terminated by Ascendis Pharma with twelve months’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with certain members of senior management contain post-termination non-competition covenants that generally may last for a period of twelve months post-termination and entitle the executives to their base salary, or portion thereof, during the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Incentive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information on our warrant incentive program, see Note 8, “Share-based Payment.”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table below sets forth information regarding outstanding warrants held by those members of our board of directors and senior management who, assuming the exercise of warrants, beneficially own 1% or more of our total outstanding ordinary shares as of December 31, 2025. </w:t>
      </w:r>
    </w:p>
    <w:tbl>
      <w:tblPr>
        <w:tblW w:w="8891" w:type="dxa"/>
        <w:jc w:val="left"/>
        <w:tblInd w:w="0" w:type="dxa"/>
        <w:tblLayout w:type="fixed"/>
        <w:tblCellMar>
          <w:top w:w="28" w:type="dxa"/>
          <w:left w:w="28" w:type="dxa"/>
          <w:bottom w:w="28" w:type="dxa"/>
          <w:right w:w="28" w:type="dxa"/>
        </w:tblCellMar>
      </w:tblPr>
      <w:tblGrid>
        <w:gridCol w:w="1621"/>
        <w:gridCol w:w="146"/>
        <w:gridCol w:w="1486"/>
        <w:gridCol w:w="146"/>
        <w:gridCol w:w="146"/>
        <w:gridCol w:w="691"/>
        <w:gridCol w:w="146"/>
        <w:gridCol w:w="146"/>
        <w:gridCol w:w="378"/>
        <w:gridCol w:w="897"/>
        <w:gridCol w:w="146"/>
        <w:gridCol w:w="146"/>
        <w:gridCol w:w="226"/>
        <w:gridCol w:w="146"/>
        <w:gridCol w:w="601"/>
        <w:gridCol w:w="146"/>
        <w:gridCol w:w="146"/>
        <w:gridCol w:w="153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Awards</w:t>
              <w:br/>
              <w:t>granted</w:t>
              <w:br/>
              <w:t>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Awards</w:t>
              <w:br/>
              <w:t>granted and</w:t>
              <w:br/>
              <w:t>outstanding,</w:t>
              <w:br/>
              <w:t>but unvested</w:t>
              <w:br/>
              <w:t>as of March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Award</w:t>
              <w:br/>
              <w:t>Exercise</w:t>
              <w:br/>
              <w:t>Price(s)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Award</w:t>
              <w:br/>
              <w:t>Expiration Date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Jan Møller Mikkelsen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14,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14, 2026</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12,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12, 2027</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11,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11, 2028</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10,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10, 2029</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10,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10, 2030</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December 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December 9, 2031</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RSU Program and PSU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information of our RSU and PSU programs, refer to Note 8, “Share-based Payment.” </w:t>
      </w:r>
    </w:p>
    <w:p>
      <w:pPr>
        <w:pStyle w:val="TextBody"/>
        <w:bidi w:val="0"/>
        <w:spacing w:before="240" w:after="283"/>
        <w:jc w:val="left"/>
        <w:rPr>
          <w:rFonts w:ascii="Times New Roman" w:hAnsi="Times New Roman"/>
          <w:sz w:val="20"/>
        </w:rPr>
      </w:pPr>
      <w:r>
        <w:rPr>
          <w:rFonts w:ascii="Times New Roman" w:hAnsi="Times New Roman"/>
          <w:b/>
          <w:i/>
          <w:color w:val="000000"/>
          <w:sz w:val="20"/>
        </w:rPr>
        <w:t>Insurance and 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 </w:t>
      </w:r>
    </w:p>
    <w:p>
      <w:pPr>
        <w:pStyle w:val="TextBody"/>
        <w:bidi w:val="0"/>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such indemnification, we provide our board members and senior management with directors’ and officers’ liability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Board Practices </w:t>
      </w:r>
    </w:p>
    <w:p>
      <w:pPr>
        <w:pStyle w:val="TextBody"/>
        <w:bidi w:val="0"/>
        <w:spacing w:before="120" w:after="283"/>
        <w:jc w:val="left"/>
        <w:rPr>
          <w:rFonts w:ascii="Times New Roman" w:hAnsi="Times New Roman"/>
          <w:sz w:val="20"/>
        </w:rPr>
      </w:pPr>
      <w:r>
        <w:rPr>
          <w:rFonts w:ascii="Times New Roman" w:hAnsi="Times New Roman"/>
          <w:b/>
          <w:color w:val="000000"/>
          <w:sz w:val="20"/>
        </w:rPr>
        <w:t>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general meeting of shareholders must elect no fewer than three and no more than ten members to our board of directors. The members of our board of directors are elected for a term expiring at the first annual general meeting following their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Board members may be dismissed at any time at a general meeting of shareholders. A resolution by the general meeting of shareholders to appoint or dismiss board members requires a simple majority of the votes cast and there is no requirement for a specific quorum.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may also adopt resolutions without a meeting, provided that such resolutions are adopted in writing and submitted to all members of our board of directors and provided that no board member objects to adopting resolutions without conducting a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5605(b)(2). </w:t>
      </w:r>
    </w:p>
    <w:p>
      <w:pPr>
        <w:pStyle w:val="TextBody"/>
        <w:bidi w:val="0"/>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Mikkelsen is a member of our senior management and a member of our board of directors and has an employment agreement that provides for benefits upon termination of employment in certain circumstances. For information about such agreements, see “Item 6 B. Directors, Senior Management and Employees—Compensation—Senior Management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 </w:t>
      </w:r>
    </w:p>
    <w:p>
      <w:pPr>
        <w:pStyle w:val="TextBody"/>
        <w:bidi w:val="0"/>
        <w:spacing w:before="360" w:after="283"/>
        <w:jc w:val="left"/>
        <w:rPr>
          <w:rFonts w:ascii="Times New Roman" w:hAnsi="Times New Roman"/>
          <w:sz w:val="20"/>
        </w:rPr>
      </w:pPr>
      <w:r>
        <w:rPr>
          <w:rFonts w:ascii="Times New Roman" w:hAnsi="Times New Roman"/>
          <w:b/>
          <w:color w:val="000000"/>
          <w:sz w:val="20"/>
        </w:rPr>
        <w:t>Executive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 </w:t>
      </w:r>
    </w:p>
    <w:p>
      <w:pPr>
        <w:pStyle w:val="TextBody"/>
        <w:bidi w:val="0"/>
        <w:spacing w:before="36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William Carl Fairey Jr., Lars Holtug, and Siham Imani, representing five of our six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 </w:t>
      </w:r>
    </w:p>
    <w:p>
      <w:pPr>
        <w:pStyle w:val="TextBody"/>
        <w:bidi w:val="0"/>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Committees of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audit committee, a remuneration committee and a nominating and corporate governance committee. We have adopted a charter for each of these committees. Under Danish corporate law, it is not possible to delegate the decision-making authority of the entire board of directors to board committees. </w:t>
      </w:r>
    </w:p>
    <w:p>
      <w:pPr>
        <w:pStyle w:val="TextBody"/>
        <w:bidi w:val="0"/>
        <w:spacing w:before="24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consists of Lars Holtug (Chair), Lisa Bright and William Carl Fairey Jr. Each member satisfies the independence requirements of the Nasdaq listing standards, and Lars Holtug qualifies as an “audit committee financial expert,” as defined in Item 16A(b)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recommendations to our board of directors regarding the appointment by the general meeting of shareholders of our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the work of the independent auditors, including making recommendations to the board of directors and resolving disagreements between the executive board and the independent auditors relating to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independence and quality control procedures of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discussing material off-balance sheet transactions, arrangements and obligations with the executive board and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all proposed related-party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discussing the annual audited consolidated and statutory financial statements with the executive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annually reviewing and reassessing the adequacy of our audit committee charter;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attending to such other matters as are specifically delegated to our audit committee by our board of directors from time to time. </w:t>
      </w:r>
    </w:p>
    <w:p>
      <w:pPr>
        <w:pStyle w:val="TextBody"/>
        <w:bidi w:val="0"/>
        <w:spacing w:before="240" w:after="283"/>
        <w:jc w:val="left"/>
        <w:rPr>
          <w:rFonts w:ascii="Times New Roman" w:hAnsi="Times New Roman"/>
          <w:sz w:val="20"/>
        </w:rPr>
      </w:pPr>
      <w:r>
        <w:rPr>
          <w:rFonts w:ascii="Times New Roman" w:hAnsi="Times New Roman"/>
          <w:b/>
          <w:i/>
          <w:color w:val="000000"/>
          <w:sz w:val="20"/>
        </w:rPr>
        <w:t>Remuneration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remuneration committee consists of Albert Cha, M.D., Ph.D. (Chair),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directors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making recommendations to our board of directors with respect to compensation of our executive board and members of our board of directors; </w:t>
      </w:r>
    </w:p>
    <w:p>
      <w:pPr>
        <w:pStyle w:val="TextBody"/>
        <w:bidi w:val="0"/>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the compensation, including equity compensation, change-of-control benefits and severance arrangements, of our chief executive officer, chief financial officer and such other members of our executive board as it deems appropriate;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and making recommendations to our board of directors regarding the evaluation of our executive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periodically and making recommendations to our board of directors with respect to any incentive compensation and equity plans, programs or similar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attending to such other matters as are specifically delegated to our remuneration committee by our board of directors from time to time. </w:t>
      </w:r>
    </w:p>
    <w:p>
      <w:pPr>
        <w:pStyle w:val="TextBody"/>
        <w:bidi w:val="0"/>
        <w:spacing w:before="24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nominating and corporate governance committee consists of Albert Cha, M.D., Ph.D. (Chair), Lisa Bright and Siham Imani.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our board of directors, persons to be nominated for election or re-election to our board of directors at any meeting of the shareholders;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orientation of new members of our board of directors, continuing education for existing members, and succession planning for our board of directors, leadership roles on our board of directors and its committees, and members of our senior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our board of director’s annual review of its own performance and the performance of its committees;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considering, preparing and recommending to our board of directors a set of corporate governance guidelines.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information on the current term of office and the period during which the members of our board of directors, executive board and our senior management have served in office, see “Item 6 A. Directors, Senior Management and Employees—Directors and Senior Management.”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Employees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specify number of employees at the end of period, per their main activity function and geographic location for the past three financial years. </w:t>
      </w:r>
    </w:p>
    <w:tbl>
      <w:tblPr>
        <w:tblW w:w="7129" w:type="dxa"/>
        <w:jc w:val="left"/>
        <w:tblInd w:w="0" w:type="dxa"/>
        <w:tblLayout w:type="fixed"/>
        <w:tblCellMar>
          <w:top w:w="28" w:type="dxa"/>
          <w:left w:w="28" w:type="dxa"/>
          <w:bottom w:w="28" w:type="dxa"/>
          <w:right w:w="28" w:type="dxa"/>
        </w:tblCellMar>
      </w:tblPr>
      <w:tblGrid>
        <w:gridCol w:w="1741"/>
        <w:gridCol w:w="146"/>
        <w:gridCol w:w="417"/>
        <w:gridCol w:w="1203"/>
        <w:gridCol w:w="146"/>
        <w:gridCol w:w="146"/>
        <w:gridCol w:w="548"/>
        <w:gridCol w:w="1582"/>
        <w:gridCol w:w="146"/>
        <w:gridCol w:w="146"/>
        <w:gridCol w:w="146"/>
        <w:gridCol w:w="571"/>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Selling, General, and</w:t>
              <w:br/>
              <w:t xml:space="preserve">Administration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and</w:t>
              <w:br/>
              <w:t>Development, and</w:t>
              <w:br/>
              <w:t>Commercial Manufacturing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9" w:type="dxa"/>
        <w:jc w:val="left"/>
        <w:tblInd w:w="0" w:type="dxa"/>
        <w:tblLayout w:type="fixed"/>
        <w:tblCellMar>
          <w:top w:w="28" w:type="dxa"/>
          <w:left w:w="28" w:type="dxa"/>
          <w:bottom w:w="28" w:type="dxa"/>
          <w:right w:w="28" w:type="dxa"/>
        </w:tblCellMar>
      </w:tblPr>
      <w:tblGrid>
        <w:gridCol w:w="1741"/>
        <w:gridCol w:w="146"/>
        <w:gridCol w:w="417"/>
        <w:gridCol w:w="1203"/>
        <w:gridCol w:w="146"/>
        <w:gridCol w:w="146"/>
        <w:gridCol w:w="548"/>
        <w:gridCol w:w="1582"/>
        <w:gridCol w:w="146"/>
        <w:gridCol w:w="146"/>
        <w:gridCol w:w="146"/>
        <w:gridCol w:w="571"/>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Selling, General, and</w:t>
              <w:br/>
              <w:t xml:space="preserve">Administration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and</w:t>
              <w:br/>
              <w:t>Development, and</w:t>
              <w:br/>
              <w:t>Commercial Manufacturing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929" w:type="dxa"/>
        <w:jc w:val="left"/>
        <w:tblInd w:w="0" w:type="dxa"/>
        <w:tblLayout w:type="fixed"/>
        <w:tblCellMar>
          <w:top w:w="28" w:type="dxa"/>
          <w:left w:w="28" w:type="dxa"/>
          <w:bottom w:w="28" w:type="dxa"/>
          <w:right w:w="28" w:type="dxa"/>
        </w:tblCellMar>
      </w:tblPr>
      <w:tblGrid>
        <w:gridCol w:w="1741"/>
        <w:gridCol w:w="146"/>
        <w:gridCol w:w="417"/>
        <w:gridCol w:w="1203"/>
        <w:gridCol w:w="146"/>
        <w:gridCol w:w="146"/>
        <w:gridCol w:w="277"/>
        <w:gridCol w:w="803"/>
        <w:gridCol w:w="146"/>
        <w:gridCol w:w="146"/>
        <w:gridCol w:w="146"/>
        <w:gridCol w:w="421"/>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Selling, General, and</w:t>
              <w:br/>
              <w:t xml:space="preserve">Administration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Research and</w:t>
              <w:b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Selling, general, and administration function includes commercial activities, corporate activities and business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the number of employees engaged with selling, general, and administration increased, primarily due to commercial activities, and extension of corporate functions to support those activities. Further, in connection with formation of Eyconis, a separate company, certain employees of Ascendis Pharma, engaged with research and development in the U.S., joined the newly formed company in 2024. See “Item 7 B. Major Shareholders and Related Party Transactions—Related Party Transactions” for more information about Eyconis.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Ascendis has no collective bargaining agreements with labor unions. Employees, however, have full freedom to join a union if they choose and in certain European countries, employees are covered under collective bargaining agreement terms. We consider our employee relations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“Item 7 A. Major Shareholders and Related Party Transactions—Major Shareholders.” Our board of directors and employees are eligible to own shares of the company through a warrant incentive program and a RSU and PSU program. For information on the programs, see Note 8, “Share-based Payment.” For information regarding the warrants held by members of our board of directors and senior management who, assuming the exercise of warrants, beneficially own 1% or more of our total outstanding ordinary shares as of December 31, 2025, see “Item 6 B.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of a Registrant’s Action to Recover Erroneously Awarded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3" w:name="item_7_major_shareholders_and_related"/>
      <w:bookmarkEnd w:id="13"/>
      <w:r>
        <w:rPr>
          <w:rFonts w:ascii="Times New Roman" w:hAnsi="Times New Roman"/>
          <w:b/>
          <w:color w:val="000000"/>
          <w:sz w:val="20"/>
        </w:rPr>
        <w:t>Item 7 Major Shareholders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Major Shareholders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relating to the beneficial ownership of our shares as of December 31, 2025,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outstanding ordinary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board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member of our senior management, including members of our executive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December 31, 2025, through the exercise of any warrants or other rights. Except as otherwise indicated, and subject to applicable community property laws, the persons named in the table have sole voting and investment power with respect to all shares owned by that person. </w:t>
      </w:r>
    </w:p>
    <w:p>
      <w:pPr>
        <w:pStyle w:val="TextBody"/>
        <w:bidi w:val="0"/>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percentage of shares beneficially owned is computed on the basis of 61,977,408 ordinary shares outstanding as of December 31, 2025, which includes 597,096 ordinary shares represented by ADSs held by Ascendis Pharma A/S. Ordinary shares that a person has the right to subscribe for within 60 days of December 31, 2025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December 31, 2025, although such warrants may only be exercised in prescribed exercise periods. A person is considered to beneficially own ordinary shares which are subject to (i) RSUs that vest within 60 days of December 31, 2025 and (ii) the PSUs that vest on March 1, 2026; however, a person is not considered to beneficially own ordinary shares subject to any other PSUs because these awards are subject to performance-based vesting criteria which have not been achieved. None of our shareholders has different voting rights from other shareholders. We are not aware of any arrangement that may, at a subsequent date, result in a change of control of our company. Unless otherwise indicated below, the address for each beneficial owner listed is c/o Ascendis Pharma A/S, at Tuborg Boulevard 12, DK-2900 Hellerup, Denmark.</w:t>
      </w:r>
    </w:p>
    <w:tbl>
      <w:tblPr>
        <w:tblW w:w="10205" w:type="dxa"/>
        <w:jc w:val="left"/>
        <w:tblInd w:w="0" w:type="dxa"/>
        <w:tblLayout w:type="fixed"/>
        <w:tblCellMar>
          <w:top w:w="28" w:type="dxa"/>
          <w:left w:w="28" w:type="dxa"/>
          <w:bottom w:w="28" w:type="dxa"/>
          <w:right w:w="28" w:type="dxa"/>
        </w:tblCellMar>
      </w:tblPr>
      <w:tblGrid>
        <w:gridCol w:w="3851"/>
        <w:gridCol w:w="146"/>
        <w:gridCol w:w="146"/>
        <w:gridCol w:w="931"/>
        <w:gridCol w:w="146"/>
        <w:gridCol w:w="146"/>
        <w:gridCol w:w="236"/>
        <w:gridCol w:w="1274"/>
        <w:gridCol w:w="146"/>
        <w:gridCol w:w="146"/>
        <w:gridCol w:w="183"/>
        <w:gridCol w:w="1168"/>
        <w:gridCol w:w="146"/>
        <w:gridCol w:w="146"/>
        <w:gridCol w:w="255"/>
        <w:gridCol w:w="819"/>
        <w:gridCol w:w="320"/>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Outstanding</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br/>
              <w:t>Exercisable</w:t>
              <w:br/>
              <w:t>and RSUs/PSUs to be</w:t>
              <w:br/>
              <w:t>Settled Within</w:t>
              <w:br/>
              <w:t>60 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Beneficial</w:t>
              <w:br/>
              <w:t>Ownership</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RA Capital Management,</w:t>
              <w:br/>
              <w:t xml:space="preserve">   L.P.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9,710,428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9,710,428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Westfield Capital Management Company, LP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Avoro Capital Advisors LLC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FMR LLC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Janus Henderson Group plc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Artisan Partners LP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Capital International Investors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Management and 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 Møller Mikkelsen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Jethro Ekuta, D.V.M.,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Sherrie Glass, 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Flemming Steen Jensen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 L.L.M.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Stina Singel,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T.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Lotte Sønderbjerg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Kennett Sprogøe,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Aimee Shu,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Donovan Wu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Mads Bodenhoff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Cha,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Bright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Carl Fairey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Lars Holtug, M.Sc.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Siham Imani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Indicates beneficial ownership of less than 1% of the total outstanding ordinary shares.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9,710,428 ADSs held by RA Capital Healthcare Fund, L.P. (the “RA Fund”) as reported by Amendment No. 15 to Schedule 13G filed with the SEC on November 14, 2024 by RA Capital Management, L.P. (“RA Capital”). RA Capital Healthcare Fund GP, LLC is the general partner of the RA Fund. The general partner of RA Capital is RA Capital Management GP, LLC, of which Peter Kolchinsky and Rajeev Shah are the controlling persons. RA Capital serves as investment adviser for the RA Fund and may be deemed a beneficial owner of ADSs held by the RA Fund. The RA Fund has delegated to RA Capital the sole power to vote and the sole power to dispose of all securities held in the RA Fund’s portfolio. Because the RA Fund has divested voting and investment power over the reported securities it holds and may not revoke that delegation on less than 61 days’ notice, the RA Fund disclaims beneficial ownership of the securities it holds and therefore disclaims any obligation to report ownership of the reported securities. As managers of RA Capital, Dr. Kolchinsky and Mr. Shah may be deemed beneficial owners of the ADSs beneficially owned by RA Capital. The address of the RA Fund, the RA Capital, Dr. Kolchinsky and Mr. Shah is c/o RA Capital Management, L.P., 200 Berkeley Street, 18th Floor, Boston, MA 02116.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5,185,696 ADSs owned of record by clients of Westfield Capital Management Company, L.P. (“Westfield”) in its capacity as investment advisor, as reported by Amendment No. 4 to Schedule 13G filed on February 11, 2026, by Westfield. Westfield’s clients have the right to receive, or the power to direct the receipt of, dividends or proceeds from the sale of the shares. The address of Westfield is 1 Financial Center, 24th Floor, Boston, MA 02111.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4,988,888 ADSs held by Avoro Capital Advisors LLC (“Avoro”) as reported on Amendment No. 2 Schedule 13G filed on November 14, 2024, by Avoro and Behzad Aghazadeh (“Dr. Aghazadeh”). Dr. Aghazadeh is the portfolio manager and controlling person of Avoro. The address of Avoro is 110 Greene Street, Suite 800, New York, NY 10012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an aggregate of 4,646,943 ADSs beneficially owned, or that may be deemed to be beneficially owned, by FMR LLC, certain of its affiliates and other companies as reported on Amendment No. 11 to Schedule 13G filed on May 12, 2025,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its principal business office at 245 Summer Street, Boston, MA 02210.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an aggregate of 4,323,059 ADSs beneficially owned, or that may be deemed to be beneficially owned, by Janus Henderson Group plc (“Janus Henderson”) as reported on Amendment No. 8 to Schedule 13G filed on November 14, 2025. The address of Janus Henderson is 201 Bishopsgate, EC2M 3AE, United Kingdom.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an aggregate of 3,225,885 ADSs beneficially owned, or that may be deemed to be beneficially owned, by Artisan Partners Limited Partnership (“APLP”), Artisan Investments GP LLC (“Artisan Investments”), Artisan Partners Holdings LP (“Artisan Holdings”) and Artisan Partners Asset Management Inc. (“APAM”) as reported by Amendment No. 6 to Schedule 13G filed on February 3, 2026. Artisan Holdings is the sole limited partner of APLP and the sole member of Artisan Investments; Artisan Investments is the general partner of APLP; APAM is the general partner of Artisan Holdings. APLP, Artisan Investments, Artisan Holdings and APAM have shared voting power over 2,883,433 shares and shared dispositive power over 3,225,885 shares. The address of APLP, Artisan Investments, Artisan Holdings, and APAM is 875 East Wisconsin Avenue, Suite 800, Milwaukee, WI 53202.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an aggregate of 3,109,225 ADSs beneficially owned, or that may be deemed to be beneficially owned, by Capital International Investors (“Capital”) as reported on Schedule 13G filed on August 13, 2025. The address of Capital is 333 South Hope Street, 55th Fl, Los Angeles, CA 90071.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(i) 871,471 ordinary shares that may be subscribed pursuant to the exercise of warrants or that may vest pursuant to RSUs and PSUs within 60 days of December 31, 2025 by Mr. Mikkelsen and (ii) 453,403 ordinary shares and ADSs beneficially owned by Mr. Mikkelsen, of which 68,470 ordinary shares and ADSs are owned through an entity controlled by Mr. Mikkelsen and 183,187 ordinary shares and ADSs have been pledged as security to lending financial institutions.</w:t>
      </w:r>
    </w:p>
    <w:p>
      <w:pPr>
        <w:pStyle w:val="TextBody"/>
        <w:bidi w:val="0"/>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Changes in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before="360" w:after="283"/>
        <w:jc w:val="left"/>
        <w:rPr>
          <w:rFonts w:ascii="Times New Roman" w:hAnsi="Times New Roman"/>
          <w:sz w:val="20"/>
        </w:rPr>
      </w:pPr>
      <w:r>
        <w:rPr>
          <w:rFonts w:ascii="Times New Roman" w:hAnsi="Times New Roman"/>
          <w:b/>
          <w:color w:val="000000"/>
          <w:sz w:val="20"/>
        </w:rPr>
        <w:t>Record 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assuming that all of our ordinary shares represented by ADSs are held by residents of the United States, 99.9% of our outstanding ordinary shares were held in the United States by two holders of record and 0.1% of our outstanding ordinary shares were held outside of the United States. </w:t>
      </w:r>
    </w:p>
    <w:p>
      <w:pPr>
        <w:pStyle w:val="TextBody"/>
        <w:bidi w:val="0"/>
        <w:spacing w:before="360" w:after="283"/>
        <w:jc w:val="left"/>
        <w:rPr>
          <w:rFonts w:ascii="Times New Roman" w:hAnsi="Times New Roman"/>
          <w:sz w:val="20"/>
        </w:rPr>
      </w:pPr>
      <w:r>
        <w:rPr>
          <w:rFonts w:ascii="Times New Roman" w:hAnsi="Times New Roman"/>
          <w:b/>
          <w:color w:val="000000"/>
          <w:sz w:val="20"/>
        </w:rPr>
        <w:t>B.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description of related party transactions we have entered into since January 1, 2025 with any of our board members, our senior management, the owners of more than five percent of our share capital, and any other related parties. </w:t>
      </w:r>
    </w:p>
    <w:p>
      <w:pPr>
        <w:pStyle w:val="TextBody"/>
        <w:bidi w:val="0"/>
        <w:spacing w:before="360" w:after="283"/>
        <w:jc w:val="left"/>
        <w:rPr>
          <w:rFonts w:ascii="Times New Roman" w:hAnsi="Times New Roman"/>
          <w:sz w:val="20"/>
        </w:rPr>
      </w:pPr>
      <w:r>
        <w:rPr>
          <w:rFonts w:ascii="Times New Roman" w:hAnsi="Times New Roman"/>
          <w:b/>
          <w:color w:val="000000"/>
          <w:sz w:val="20"/>
        </w:rPr>
        <w:t>Employment Agreements and Grants of Warrants and RSUs/PSUs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employment agreements with, and granted RSUs and PSUs to, certain members of our senior management. Further, we have issued RSUs to our members of the board of directors. In addition, we are paying fees for board tenure and board committee tenure to the independent members of our board of directors. See “Item 6 B. Directors, Senior Management and Employees—Compensation” for more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board members and members of our senior management. See “Item 6 B. Directors, Senior Management and Employees—Compensation—Insurance and Indemnification” for a description of these indemnification agreements. </w:t>
      </w:r>
    </w:p>
    <w:p>
      <w:pPr>
        <w:pStyle w:val="TextBody"/>
        <w:bidi w:val="0"/>
        <w:spacing w:before="360" w:after="283"/>
        <w:jc w:val="left"/>
        <w:rPr>
          <w:rFonts w:ascii="Times New Roman" w:hAnsi="Times New Roman"/>
          <w:sz w:val="20"/>
        </w:rPr>
      </w:pPr>
      <w:r>
        <w:rPr>
          <w:rFonts w:ascii="Times New Roman" w:hAnsi="Times New Roman"/>
          <w:b/>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services to VISEN Pharmaceuticals (“VISEN”) under our Rights Agreements are reimbursed by VISEN. Further, under our Rights Agreements, clinical supply agreements, purchase agreement and commercial supply agreement, we have provided and agreed to provide product supply to VISEN for use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quantitative details regarding transactions and outstanding balances with associates, including VISEN, please refer to Note 13, “Investments in Associates.”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Eyconis</w:t>
      </w:r>
    </w:p>
    <w:p>
      <w:pPr>
        <w:pStyle w:val="TextBody"/>
        <w:bidi w:val="0"/>
        <w:jc w:val="left"/>
        <w:rPr>
          <w:rFonts w:ascii="Times New Roman" w:hAnsi="Times New Roman"/>
          <w:color w:val="000000"/>
          <w:sz w:val="20"/>
        </w:rPr>
      </w:pPr>
      <w:r>
        <w:rPr>
          <w:rFonts w:ascii="Times New Roman" w:hAnsi="Times New Roman"/>
          <w:color w:val="000000"/>
          <w:sz w:val="20"/>
        </w:rPr>
        <w:t>On January 29, 2024, we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 Albert Cha, M.D., Ph.D. the chairman of our board of directors, is a Managing Partner with Frazier Life Sciences and serves on an investment committee exercising control over Frazier Life Sciences Public Fund, L.P.; however, Frazier’s investment in Eyconis was made by Frazier Life Sciences XI, L.P., whose investment committee does not include Dr. Cha. The audit committee of our board of directors reviewed the facts and circumstances of Dr. Cha’s relationship with Frazier Life Sciences and has determined that Dr. Cha does not have a direct or indirect material interest in our transactions with Eyconis.</w:t>
      </w:r>
    </w:p>
    <w:p>
      <w:pPr>
        <w:pStyle w:val="TextBody"/>
        <w:bidi w:val="0"/>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Eyconis is based in Redwood City, California and certain employees of Ascendis joined the newly formed company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formation of Eyconis in 2024, we have provided various administrative and support services under our Transitional Services Agreement. Further, under our Inventory Transfer Agreement and Material Transfer Agreement, we have, in 2024, sold laboratory and office inventory, materials and assigned certain contract manufacturers contracts to Eyconis. In addition, under our Sublease Agreement, we have subleased R&amp;D and laboratory facilities to Eyconis, initially until December 2025, and, which in 2025, was subsequently extended until April 2030.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quantitative details regarding transactions and outstanding balances with associates, please refer to Note 13, “Investments in Associates.”</w:t>
      </w:r>
    </w:p>
    <w:p>
      <w:pPr>
        <w:pStyle w:val="TextBody"/>
        <w:bidi w:val="0"/>
        <w:spacing w:before="360" w:after="283"/>
        <w:jc w:val="left"/>
        <w:rPr>
          <w:rFonts w:ascii="Times New Roman" w:hAnsi="Times New Roman"/>
          <w:sz w:val="20"/>
        </w:rPr>
      </w:pPr>
      <w:r>
        <w:rPr>
          <w:rFonts w:ascii="Times New Roman" w:hAnsi="Times New Roman"/>
          <w:b/>
          <w:color w:val="000000"/>
          <w:sz w:val="20"/>
        </w:rPr>
        <w:t>C. Interests of Experts and Counsel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4" w:name="item_8_financial_information"/>
      <w:bookmarkEnd w:id="14"/>
      <w:r>
        <w:rPr>
          <w:rFonts w:ascii="Times New Roman" w:hAnsi="Times New Roman"/>
          <w:b/>
          <w:color w:val="000000"/>
          <w:sz w:val="20"/>
        </w:rPr>
        <w:t>Item 8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Consolidated Statements and Other Financial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financial statements beginning on page F-1. </w:t>
      </w:r>
    </w:p>
    <w:p>
      <w:pPr>
        <w:pStyle w:val="TextBody"/>
        <w:bidi w:val="0"/>
        <w:spacing w:before="36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various claims and legal proceedings relating to claims arising out of our operations. For an example, BioMarin has initiated certain legal proceedings aimed at delaying or preventing patient access to TransCon CNP. For further details, please refer to “Item 4B. Information on the Company – Business Overview – TransCon Technologies–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Regardless of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at present plan to pay cash dividends on our ordinary shares. Under Danish law, the distribution of ordinary and extraordinary dividends requires the approval of a company’s shareholders at a company’s 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The board of directors determines whether it will be sufficient to use the balance sheet from the annual report or if an interim balance sheet for the period from the annual report period until the extraordinary dividend payment shall be prepared. If a resolution to distribute extraordinary dividends is passed more than six months after the balance sheet date as set out in the company’s latest approved annual report an interim balance sheet showing that sufficient funds are available for distribution must always be prepared.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Significant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23, “Subsequent Events” to the audited consolidated financial statements included elsewhere in this annual report. </w:t>
      </w:r>
    </w:p>
    <w:p>
      <w:pPr>
        <w:pStyle w:val="TextBody"/>
        <w:bidi w:val="0"/>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9_the_offer_and_listing"/>
      <w:bookmarkEnd w:id="15"/>
      <w:r>
        <w:rPr>
          <w:rFonts w:ascii="Times New Roman" w:hAnsi="Times New Roman"/>
          <w:b/>
          <w:color w:val="000000"/>
          <w:sz w:val="20"/>
        </w:rPr>
        <w:t>Item 9 The Offer and Listing</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Offer and Listing Details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ADS have been listed on The Nasdaq Global Select Market under the symbol “ASND” since January 28, 2015. Prior to that date, there was no public trading market for ADSs or our ordinary shares.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Plan of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ADS have been listed on The Nasdaq Global Select Market under the symbol “ASND” since January 28, 2015.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Selling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Expenses of the Issue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6" w:name="item_10_additional_information"/>
      <w:bookmarkEnd w:id="16"/>
      <w:r>
        <w:rPr>
          <w:rFonts w:ascii="Times New Roman" w:hAnsi="Times New Roman"/>
          <w:b/>
          <w:color w:val="000000"/>
          <w:sz w:val="20"/>
        </w:rPr>
        <w:t>Item 10 Additional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Share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Memorandum and Articles of Association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section, including a summary of certain key provisions of our articles of association, is set forth in Exhibit 2.3 (Description of Share Capital) filed as an exhibit to this Annual Report on Form 20</w:t>
        <w:noBreakHyphen/>
        <w:t>F and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Material Contracts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otherwise disclosed in this annual report (including the Exhibits), we are not currently party to any material contract, other than contracts entered into in the ordinary course of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Exchange Controls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Danish Act on Foreign Investment Screening sets out rules on screening of certain foreign direct investments etc. in Denmark (“Danish FDI Rules”). Pursuant to the Danish FDI Rules, a screening mechanism applies to foreign direct investments in certain sensitive sectors where a foreign investor obtains at least 10% ownership or voting rights or equivalent control by other means. The purpose of the Danish FDI Rules is to prevent foreign direct investments and special economic agreements from posing a threat to national security or public order in Denmark, through screening and possible interventions against such investments and agreements. Among the sensitive sectors defined in the Danish FDI rules are companies and entities that are critical infrastructure in Denmark in relation to the production, registration, distribution, and monitoring of prescription drugs. </w:t>
      </w:r>
    </w:p>
    <w:p>
      <w:pPr>
        <w:pStyle w:val="TextBody"/>
        <w:bidi w:val="0"/>
        <w:jc w:val="center"/>
        <w:rPr>
          <w:rFonts w:ascii="Times New Roman" w:hAnsi="Times New Roman"/>
          <w:color w:val="000000"/>
          <w:sz w:val="20"/>
        </w:rPr>
      </w:pPr>
      <w:r>
        <w:rPr>
          <w:rFonts w:ascii="Times New Roman" w:hAnsi="Times New Roman"/>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contemplated foreign direct investment in Ascendis Pharma A/S is considered to fall within the scope of the mandatory screening mechanism, the foreign investor is required to apply for prior authorization with the Danish Business Authority. FDI filings, notifications, or approvals may under certain circumstances also be required in non-Danish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foreign investor fails to comply with the Danish FDI Rules, the Danish Business Authority may impose restrictions, including ordering the reversal of the investment or the suspension of the foreign investor’s voting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International trade and financial sanctions are continually evolving. If applicable, such international trade and financial sanctions may under certain circumstances prevent the possibility of export and import of capital, and affect the remittance of dividends, interest and other payments to non-resident holders of shares or ADS.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international trade and financial sanctions may restrict the right of non-resident or foreign owners to acquire, transfer, hold or vote the shares and ADS. Failure to comply with international trade and financial sanctions can lead to criminal and civil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Taxation </w:t>
      </w:r>
    </w:p>
    <w:p>
      <w:pPr>
        <w:pStyle w:val="TextBody"/>
        <w:bidi w:val="0"/>
        <w:spacing w:before="120" w:after="283"/>
        <w:jc w:val="left"/>
        <w:rPr>
          <w:rFonts w:ascii="Times New Roman" w:hAnsi="Times New Roman"/>
          <w:sz w:val="20"/>
        </w:rPr>
      </w:pPr>
      <w:r>
        <w:rPr>
          <w:rFonts w:ascii="Times New Roman" w:hAnsi="Times New Roman"/>
          <w:b/>
          <w:color w:val="000000"/>
          <w:sz w:val="20"/>
        </w:rPr>
        <w:t>Danish Tax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summary does not cover investors to whom special tax rules apply, and, therefore, may not be relevant, for example, to investors subject to the Danish Tax on Pension Yields Act (</w:t>
      </w:r>
      <w:r>
        <w:rPr>
          <w:rFonts w:ascii="Times New Roman" w:hAnsi="Times New Roman"/>
          <w:i/>
          <w:color w:val="000000"/>
          <w:sz w:val="20"/>
        </w:rPr>
        <w:t>i.e.</w:t>
      </w:r>
      <w:r>
        <w:rPr>
          <w:rFonts w:ascii="Times New Roman" w:hAnsi="Times New Roman"/>
          <w:color w:val="000000"/>
          <w:sz w:val="20"/>
        </w:rPr>
        <w:t xml:space="preserve">,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considered shareholders for Danish tax purposes. Sales are assumed to be sales to a third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investors in the ADSs are advised to consult their tax advisors regarding the applicable tax consequences of acquiring, holding and disposing of the ADSs based on their particular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Investors who may be affected by the tax laws of other jurisdictions should consult their tax advisors with respect to the tax consequences applicable to their particular circumstances as such consequences may differ significantly from those described herein. </w:t>
      </w:r>
    </w:p>
    <w:p>
      <w:pPr>
        <w:pStyle w:val="TextBody"/>
        <w:bidi w:val="0"/>
        <w:spacing w:before="360" w:after="283"/>
        <w:jc w:val="left"/>
        <w:rPr>
          <w:rFonts w:ascii="Times New Roman" w:hAnsi="Times New Roman"/>
          <w:sz w:val="20"/>
        </w:rPr>
      </w:pPr>
      <w:r>
        <w:rPr>
          <w:rFonts w:ascii="Times New Roman" w:hAnsi="Times New Roman"/>
          <w:b/>
          <w:color w:val="000000"/>
          <w:sz w:val="20"/>
        </w:rPr>
        <w:t>Tax Characterization of the 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Danish tax law, ADSs may be qualified as shares or financial instruments depending on the specific terms of the 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obtained a tax ruling on June 21, 2022, from the Danish Tax Council which confirmed that ADSs issued by us are considered as shares for Danish tax purposes. Based on an analysis of the terms of the Deposit Agreement between 1) the holders of ADSs, 2) Ascendis Pharma A/S and 3) Bank of New York Mellon, the Danish Tax Council found that the voting and economic rights attached to the underlying shares had effectively been transferred to the ADS holders and therefore, the ADSs qualified as shares for Danish tax purposes. The ruling is binding on the Danish tax authorities for 5 years as long as the facts remain as described in the ruling for the duration of the 5-year period and in the absence of a change of law. The ruling further confirmed that the ADSs are to be considered listed shares, as the ADSs are listed on Nasdaq. Accordingly, the remainder of this Danish tax discussion assumes that the ADSs will be treated as listed shares for Danish tax purposes.</w:t>
      </w:r>
    </w:p>
    <w:p>
      <w:pPr>
        <w:pStyle w:val="TextBody"/>
        <w:bidi w:val="0"/>
        <w:jc w:val="center"/>
        <w:rPr>
          <w:rFonts w:ascii="Times New Roman" w:hAnsi="Times New Roman"/>
          <w:color w:val="000000"/>
          <w:sz w:val="20"/>
        </w:rPr>
      </w:pPr>
      <w:r>
        <w:rPr>
          <w:rFonts w:ascii="Times New Roman" w:hAnsi="Times New Roman"/>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Danish Tax Resident Holders of the ADSs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 of the ADSs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individual investors in 2025, gains from the sale of shares are included in the computation of the annual share income subject to 27% tax on the first DKK 67,500 (for cohabiting spouses, a total of DKK 135,000) and at a rate of 42% on share income exceeding DKK 67,500 (for cohabiting spouses over DKK 135,000). Such amounts are subject to annual adjustment and include all share income (</w:t>
      </w:r>
      <w:r>
        <w:rPr>
          <w:rFonts w:ascii="Times New Roman" w:hAnsi="Times New Roman"/>
          <w:i/>
          <w:color w:val="000000"/>
          <w:sz w:val="20"/>
        </w:rPr>
        <w:t>i.e.</w:t>
      </w:r>
      <w:r>
        <w:rPr>
          <w:rFonts w:ascii="Times New Roman" w:hAnsi="Times New Roman"/>
          <w:color w:val="000000"/>
          <w:sz w:val="20"/>
        </w:rPr>
        <w:t>, all capital gains and dividends derived by the individual or cohabiting spouses, respectively). The realization principle applies; i.e. the gains or losses are included in the income in the year of disposal.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ADSs, for the purpose of this tax description, are considered listed shares for Danish tax purposes, losses may be offset against received dividends and capital gains on listed shares. Unused losses will automatically be offset against a cohabiting spouse’s dividends and capital gains on listed shares. Any unused losses can be carried forward. It is a requirement for offsetting of losses, that the ADS holder (or the ADS holder’s custodian bank) has declared the acquisition of the shares in the tax return for the year of acquisition. Such declaration must specify the identity of the ADS, the number of ADS acquired, the acquisition sum and the date of acquisition.</w:t>
      </w:r>
    </w:p>
    <w:p>
      <w:pPr>
        <w:pStyle w:val="TextBody"/>
        <w:bidi w:val="0"/>
        <w:spacing w:before="240" w:after="283"/>
        <w:jc w:val="left"/>
        <w:rPr>
          <w:rFonts w:ascii="Times New Roman" w:hAnsi="Times New Roman"/>
          <w:sz w:val="20"/>
        </w:rPr>
      </w:pPr>
      <w:r>
        <w:rPr>
          <w:rFonts w:ascii="Times New Roman" w:hAnsi="Times New Roman"/>
          <w:i/>
          <w:color w:val="000000"/>
          <w:sz w:val="20"/>
        </w:rPr>
        <w:t>Sale of the ADSs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 of taxation of sales of shares made by corporate shareholders,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 </w:t>
      </w:r>
    </w:p>
    <w:p>
      <w:pPr>
        <w:pStyle w:val="TextBody"/>
        <w:bidi w:val="0"/>
        <w:spacing w:before="240" w:after="283"/>
        <w:jc w:val="left"/>
        <w:rPr/>
      </w:pPr>
      <w:r>
        <w:rPr>
          <w:color w:val="000000"/>
        </w:rPr>
        <w:t>“</w:t>
      </w:r>
      <w:r>
        <w:rPr>
          <w:rFonts w:ascii="Times New Roman" w:hAnsi="Times New Roman"/>
          <w:i/>
          <w:color w:val="000000"/>
          <w:sz w:val="20"/>
        </w:rPr>
        <w:t>Subsidiary Shares”</w:t>
      </w:r>
      <w:r>
        <w:rPr>
          <w:rFonts w:ascii="Times New Roman" w:hAnsi="Times New Roman"/>
          <w:color w:val="000000"/>
          <w:sz w:val="20"/>
        </w:rPr>
        <w:t xml:space="preserve"> are generally defined as shares owned by a shareholder holding at least 10% of the nominal share capital of the issuing company. </w:t>
      </w:r>
    </w:p>
    <w:p>
      <w:pPr>
        <w:pStyle w:val="TextBody"/>
        <w:bidi w:val="0"/>
        <w:jc w:val="left"/>
        <w:rPr>
          <w:color w:val="000000"/>
        </w:rPr>
      </w:pPr>
      <w:r>
        <w:rPr>
          <w:color w:val="000000"/>
        </w:rPr>
        <w:t xml:space="preserve">  </w:t>
      </w:r>
    </w:p>
    <w:p>
      <w:pPr>
        <w:pStyle w:val="TextBody"/>
        <w:bidi w:val="0"/>
        <w:spacing w:before="240" w:after="283"/>
        <w:jc w:val="left"/>
        <w:rPr/>
      </w:pPr>
      <w:r>
        <w:rPr>
          <w:color w:val="000000"/>
        </w:rPr>
        <w:t>“</w:t>
      </w:r>
      <w:r>
        <w:rPr>
          <w:rFonts w:ascii="Times New Roman" w:hAnsi="Times New Roman"/>
          <w:i/>
          <w:color w:val="000000"/>
          <w:sz w:val="20"/>
        </w:rPr>
        <w:t>Group Shares”</w:t>
      </w:r>
      <w:r>
        <w:rPr>
          <w:rFonts w:ascii="Times New Roman" w:hAnsi="Times New Roman"/>
          <w:color w:val="000000"/>
          <w:sz w:val="20"/>
        </w:rPr>
        <w:t xml:space="preserve"> are generally defined as shares in a company in which the shareholder of the company and the issuing company are subject to Danish joint taxation or fulfill the requirements for international joint taxation under Danish law (i.e., the company is controlled by the shareholder). </w:t>
      </w:r>
    </w:p>
    <w:p>
      <w:pPr>
        <w:pStyle w:val="TextBody"/>
        <w:bidi w:val="0"/>
        <w:spacing w:before="240" w:after="283"/>
        <w:jc w:val="left"/>
        <w:rPr/>
      </w:pPr>
      <w:r>
        <w:rPr>
          <w:color w:val="000000"/>
        </w:rPr>
        <w:t>“</w:t>
      </w:r>
      <w:r>
        <w:rPr>
          <w:rFonts w:ascii="Times New Roman" w:hAnsi="Times New Roman"/>
          <w:i/>
          <w:color w:val="000000"/>
          <w:sz w:val="20"/>
        </w:rPr>
        <w:t>Tax-Exempt Portfolio Shares”</w:t>
      </w:r>
      <w:r>
        <w:rPr>
          <w:rFonts w:ascii="Times New Roman" w:hAnsi="Times New Roman"/>
          <w:color w:val="000000"/>
          <w:sz w:val="20"/>
        </w:rPr>
        <w:t xml:space="preserve"> are defined as shares not admitted to trading on a regulated market owned by a shareholder holding less than 10% of the nominal share capital of the issuing company.</w:t>
      </w:r>
    </w:p>
    <w:p>
      <w:pPr>
        <w:pStyle w:val="TextBody"/>
        <w:bidi w:val="0"/>
        <w:spacing w:before="240" w:after="283"/>
        <w:jc w:val="left"/>
        <w:rPr/>
      </w:pPr>
      <w:r>
        <w:rPr>
          <w:color w:val="000000"/>
        </w:rPr>
        <w:t>“</w:t>
      </w:r>
      <w:r>
        <w:rPr>
          <w:rFonts w:ascii="Times New Roman" w:hAnsi="Times New Roman"/>
          <w:i/>
          <w:color w:val="000000"/>
          <w:sz w:val="20"/>
        </w:rPr>
        <w:t>Taxable Portfolio Shares”</w:t>
      </w:r>
      <w:r>
        <w:rPr>
          <w:rFonts w:ascii="Times New Roman" w:hAnsi="Times New Roman"/>
          <w:color w:val="000000"/>
          <w:sz w:val="20"/>
        </w:rPr>
        <w:t xml:space="preserve"> are defined as shares that do not qualify as Subsidiary Shares, Group Shares or Tax-Exempt Portfolio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Gains or losses on disposal of Subsidiary Shares and Group Shares and Tax-Exempt Portfolio Shares are not included in the taxable income of the shareholder.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Special rules apply with respect to Subsidiary Shares and Group Shares to prevent exemption through certain pooling of ownership holding company structures just as other anti-avoidance rules may apply. These rules will not be described in further detail.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gains from the sale of Taxable Portfolio Shares are taxable at a rate of 22% irrespective of ownership period. Losses on such shares are generally deductible. Gains and losses on Taxable Portfolio Shares are generally taxable according to the mark-to-market principle (in Danish “lagerprincippet”).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 </w:t>
      </w:r>
    </w:p>
    <w:p>
      <w:pPr>
        <w:pStyle w:val="TextBody"/>
        <w:bidi w:val="0"/>
        <w:jc w:val="center"/>
        <w:rPr>
          <w:rFonts w:ascii="Times New Roman" w:hAnsi="Times New Roman"/>
          <w:color w:val="000000"/>
          <w:sz w:val="20"/>
        </w:rPr>
      </w:pPr>
      <w:r>
        <w:rPr>
          <w:rFonts w:ascii="Times New Roman" w:hAnsi="Times New Roman"/>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of status from Subsidiary Shares/Group Shares/Tax-Exempt Portfolio Shares to Taxable Portfolio Shares (or vice versa) is for tax purposes deemed to be a disposal of the shares and a reacquisition of the shares at market value at the time of change of status. </w:t>
      </w:r>
    </w:p>
    <w:p>
      <w:pPr>
        <w:pStyle w:val="TextBody"/>
        <w:bidi w:val="0"/>
        <w:spacing w:before="240" w:after="283"/>
        <w:jc w:val="left"/>
        <w:rPr>
          <w:rFonts w:ascii="Times New Roman" w:hAnsi="Times New Roman"/>
          <w:sz w:val="20"/>
        </w:rPr>
      </w:pPr>
      <w:r>
        <w:rPr>
          <w:rFonts w:ascii="Times New Roman" w:hAnsi="Times New Roman"/>
          <w:i/>
          <w:color w:val="000000"/>
          <w:sz w:val="20"/>
        </w:rPr>
        <w:t>Dividends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on listed shares are taxed as share income, as described above. All share income must be included when calculating whether the amounts described above are exceeded. Dividends paid to individuals are generally subject to 27% withholding tax. </w:t>
      </w:r>
    </w:p>
    <w:p>
      <w:pPr>
        <w:pStyle w:val="TextBody"/>
        <w:bidi w:val="0"/>
        <w:spacing w:before="240" w:after="283"/>
        <w:jc w:val="left"/>
        <w:rPr>
          <w:rFonts w:ascii="Times New Roman" w:hAnsi="Times New Roman"/>
          <w:sz w:val="20"/>
        </w:rPr>
      </w:pPr>
      <w:r>
        <w:rPr>
          <w:rFonts w:ascii="Times New Roman" w:hAnsi="Times New Roman"/>
          <w:i/>
          <w:color w:val="000000"/>
          <w:sz w:val="20"/>
        </w:rPr>
        <w:t>Dividends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corporate investors, dividends paid on Subsidiary Shares, Group Shares and Tax-Exempt Portfolio Shares are tax-exempt irrespective of ownership period, if the investor is considered beneficial owner.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Dividends paid on Taxable Portfolio Shares are subject to the standard corporation tax rate of 22% irrespective of ownership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withholding tax rate is 27% as a starting point, which can be reduced (to 0% or 22%) if certain requirements are met. A claim for repayment can be made by the shareholder to whom the company has distributed the dividends, within the calendar year in which the dividend distribution was approved or the excess tax will offset the corporation income tax for the year. The statute of limitations is three years.</w:t>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Shareholders Residing Outside Denmark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tax ruling on June 21, 2022, from the Danish Tax Council, holders of ADSs issued by Ascendis Pharma A/S are treated as holding listed ordinary shares in the company for Danish tax purposes.</w:t>
      </w:r>
    </w:p>
    <w:p>
      <w:pPr>
        <w:pStyle w:val="TextBody"/>
        <w:bidi w:val="0"/>
        <w:spacing w:before="240" w:after="283"/>
        <w:jc w:val="left"/>
        <w:rPr>
          <w:rFonts w:ascii="Times New Roman" w:hAnsi="Times New Roman"/>
          <w:sz w:val="20"/>
        </w:rPr>
      </w:pPr>
      <w:r>
        <w:rPr>
          <w:rFonts w:ascii="Times New Roman" w:hAnsi="Times New Roman"/>
          <w:i/>
          <w:color w:val="000000"/>
          <w:sz w:val="20"/>
        </w:rPr>
        <w:t>Sale of the ADSs (Individuals and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the ADSs not resident in Denmark are normally not subject to Danish taxation on any gains realized on the sale of ADSs, irrespective of the ownership period, subject to certain anti-avoidance rules seeking to prevent that taxable dividend payments are converted to tax exempt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Danish share transfer tax or stamp duties are payable on transfer of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investor holds the ADSs in connection with a trade or business conducted from a permanent establishment in Denmark, gains on shares may be included in the taxable income of such activities pursuant to the rules applying to Danish tax residents as described above. </w:t>
      </w:r>
    </w:p>
    <w:p>
      <w:pPr>
        <w:pStyle w:val="TextBody"/>
        <w:bidi w:val="0"/>
        <w:spacing w:before="240" w:after="283"/>
        <w:jc w:val="left"/>
        <w:rPr>
          <w:rFonts w:ascii="Times New Roman" w:hAnsi="Times New Roman"/>
          <w:sz w:val="20"/>
        </w:rPr>
      </w:pPr>
      <w:r>
        <w:rPr>
          <w:rFonts w:ascii="Times New Roman" w:hAnsi="Times New Roman"/>
          <w:i/>
          <w:color w:val="000000"/>
          <w:sz w:val="20"/>
        </w:rPr>
        <w:t>Dividends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 are generally subject to 27% Danish withholding tax. Individuals residing in certain black-listed countries and holding 25% or more of the share capital or the voting rights, or have within the past 5 years held 25 % or more of the share capital or voting rights in the company, are subject to 44% withholding tax.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Non-residents of Denmark are not subject to additional Danish income tax with respect to dividends received on shares. </w:t>
      </w:r>
    </w:p>
    <w:p>
      <w:pPr>
        <w:pStyle w:val="TextBody"/>
        <w:bidi w:val="0"/>
        <w:jc w:val="center"/>
        <w:rPr>
          <w:rFonts w:ascii="Times New Roman" w:hAnsi="Times New Roman"/>
          <w:color w:val="000000"/>
          <w:sz w:val="20"/>
        </w:rPr>
      </w:pPr>
      <w:r>
        <w:rPr>
          <w:rFonts w:ascii="Times New Roman" w:hAnsi="Times New Roman"/>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ADSs are, as shareholders, entitled to apply for a full or partial refund of Danish withholding tax on dividends withheld by the company, in the situations described below. </w:t>
      </w:r>
    </w:p>
    <w:p>
      <w:pPr>
        <w:pStyle w:val="TextBody"/>
        <w:bidi w:val="0"/>
        <w:spacing w:before="240" w:after="283"/>
        <w:jc w:val="left"/>
        <w:rPr>
          <w:rFonts w:ascii="Times New Roman" w:hAnsi="Times New Roman"/>
          <w:sz w:val="20"/>
        </w:rPr>
      </w:pPr>
      <w:r>
        <w:rPr>
          <w:rFonts w:ascii="Times New Roman" w:hAnsi="Times New Roman"/>
          <w:i/>
          <w:color w:val="000000"/>
          <w:sz w:val="20"/>
        </w:rPr>
        <w:t>Reduction According to a Tax Treaty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Such a withholding tax reduction in accordance with a tax treaty, requires that the holder of the ADS is also considered beneficial owner of the dividends according to the applicable double tax treaty and that the tax residency of the ADS holder can be documented. Denmark has entered into tax treaties with approximately 80 countries, including the United States, Switzerland and almost all members of the European Union. The tax treaty between Denmark and the United States generally provides for a 15% tax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Individuals residing in certain black-listed countries and holding 25% or more of the share capital or the voting rights, or have within the past 5 years held 25 % or more of the share capital or voting rights, in the company are not eligible for refund of dividend withholding taxes. </w:t>
      </w:r>
    </w:p>
    <w:p>
      <w:pPr>
        <w:pStyle w:val="TextBody"/>
        <w:bidi w:val="0"/>
        <w:spacing w:before="240" w:after="283"/>
        <w:jc w:val="left"/>
        <w:rPr>
          <w:rFonts w:ascii="Times New Roman" w:hAnsi="Times New Roman"/>
          <w:sz w:val="20"/>
        </w:rPr>
      </w:pPr>
      <w:r>
        <w:rPr>
          <w:rFonts w:ascii="Times New Roman" w:hAnsi="Times New Roman"/>
          <w:i/>
          <w:color w:val="000000"/>
          <w:sz w:val="20"/>
        </w:rPr>
        <w:t>Reduction According to Danish Tax Law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ADS holder holds less than 10% of the nominal share capital (in the form of ordinary shares in the company and not on the basis of the number of the ADSs issued) of the company – through ownership of ordinary shares and ADS - and the ADS holder is tax resident in a state which has a tax treaty or an international agreement, convention or other administrative agreement on assistance in tax matters according to which the competent authority in the state of the ADS holder is obligated to exchange information with Denmark, dividends are subject to tax at a rate of 15%. If the ADS holder is tax resident outside the European Union, it is an additional requirement for eligibility for the 15% tax rate that the ADS holder together with related parties holds less than 10% of the nominal share capital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Note that the reduced tax rate does not affect the withholding rate, which is why the holder must claim a refund as described above in order to benefit from the reduced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a non-tax resident of Denmark holds shares which can be attributed to a permanent establishment in Denmark, dividends are taxable pursuant to the rules applying to Danish tax residents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Individuals residing in certain black-listed countries and holding 25% or more of the share capital or the voting rights, or have within the past 5 years held 25 % or more of the share capital or voting rights, in the company are not eligible for refund of dividend withholding taxes. </w:t>
      </w:r>
    </w:p>
    <w:p>
      <w:pPr>
        <w:pStyle w:val="TextBody"/>
        <w:bidi w:val="0"/>
        <w:spacing w:before="240" w:after="283"/>
        <w:jc w:val="left"/>
        <w:rPr>
          <w:rFonts w:ascii="Times New Roman" w:hAnsi="Times New Roman"/>
          <w:sz w:val="20"/>
        </w:rPr>
      </w:pPr>
      <w:r>
        <w:rPr>
          <w:rFonts w:ascii="Times New Roman" w:hAnsi="Times New Roman"/>
          <w:i/>
          <w:color w:val="000000"/>
          <w:sz w:val="20"/>
        </w:rPr>
        <w:t>Dividends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paid to companies are generally subject to 27% withholding tax.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Companies residing in certain black-listed countries and holding Subsidiary Shares or Group Shares are subject to 44% withholding tax, unless it can be proved that the beneficial owner of the dividend is a resident of the European Union or the EEA or a state with which Denmark has entered into a tax treaty. Furthermore, such companies are not eligible for refund of dividend withholding taxes. </w:t>
      </w:r>
    </w:p>
    <w:p>
      <w:pPr>
        <w:pStyle w:val="TextBody"/>
        <w:bidi w:val="0"/>
        <w:jc w:val="center"/>
        <w:rPr>
          <w:rFonts w:ascii="Times New Roman" w:hAnsi="Times New Roman"/>
          <w:color w:val="000000"/>
          <w:sz w:val="20"/>
        </w:rPr>
      </w:pPr>
      <w:r>
        <w:rPr>
          <w:rFonts w:ascii="Times New Roman" w:hAnsi="Times New Roman"/>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withholding tax rate is reduced to zero for dividends from: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Subsidiary Shares, provided that the taxation of the dividends is to be waived or reduced in accordance with the Parent-Subsidiary Directive (2011/96/EEC) or in accordance with a tax treaty with the jurisdiction in which the ADS holder, as shareholder, is resident. Thus, if Denmark is to reduce taxation of dividends to a foreign company under a tax treaty, Denmark will not, as a matter of domestic law, exercise such right and will in general not impose any tax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 Shares, not also being Subsidiary Shares, provided the ADS holder, as shareholder, is a resident of the European Union or the EEA and provided the taxation of dividends should have been waived or reduced in accordance with the Parent-Subsidiary Directive (2011/96/EEC) or in accordance with a tax treaty with the country in which the ADS holder is resident had the shares been Subsidiary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Exempt Portfolio shares provided that the ADS holder – as shareholder – is also considered the beneficial owner of the dividends and a tax resident in a state where the competent authority is obliged to exchange information with Denmark in accordance with a tax treaty, convention or other administrative agreement on assistance in tax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 ADS holder – as shareholder – tax resident in an EU member state or in an EEA state that has entered a tax treaty with Denmark, the above only applies if the ADS holder owns less than 10% of the share capital in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For an ADS holder – as shareholder –</w:t>
      </w:r>
      <w:r>
        <w:rPr>
          <w:color w:val="000000"/>
        </w:rPr>
        <w:t xml:space="preserve"> </w:t>
      </w:r>
      <w:r>
        <w:rPr>
          <w:rFonts w:ascii="Times New Roman" w:hAnsi="Times New Roman"/>
          <w:color w:val="000000"/>
          <w:sz w:val="20"/>
        </w:rPr>
        <w:t>tax resident outside an EU member state or an EEA state that has entered a tax treaty with Denmark, the above only applies if the ADS holder together with associated parties own less than 10% of the share capital in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the beneficial owner of the dividends is not tax resident in an EU member state or if Denmark is not obliged to reduce taxation of the dividends according to a tax treaty, the above only applies if the beneficial owner does not have controlling influence (broadly defined) in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Dividends paid on Taxable Portfolio Shares are generally subject to tax at a rate of 22% irrespective of ownership period. While the actual withholding tax rate is as a starting point 27%, it can be reduced if certain requirements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withholding tax levied is higher than the final withholding tax rate in accordance with the above, the ADS holder – as shareholder - may generally, through certain certification procedures, seek a refund from the Danish tax authorities of the tax withheld in excess of the applicable rate, to the extent the tax residency of the ADS holder and any additional requirements, inter alia beneficial ownership and ownership percentage, can be documented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event that the ADS holder is considered beneficial owner of the dividends and is a resident of a state with which Denmark has entered into a tax treaty, the holder may generally, through certain certification procedures, seek a refund from the Danish tax authorities of the tax withheld in excess of the applicable treaty rate, to the extent the tax residency of the ADS holder can be documented. Denmark has entered into tax treaties with approximately 80 countries, including the United States and almost all members of the European Union. The tax treaty between Denmark and the United States generally provides for a 15%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Non-residents of Denmark are not subject to additional Danish income tax with respect to dividends received 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a non-resident company of Denmark holds ADSs which can be attributed to a permanent establishment in Denmark, dividends are taxable pursuant to the rules applying to Danish tax residents described above. </w:t>
      </w:r>
    </w:p>
    <w:p>
      <w:pPr>
        <w:pStyle w:val="TextBody"/>
        <w:bidi w:val="0"/>
        <w:spacing w:before="240" w:after="283"/>
        <w:jc w:val="left"/>
        <w:rPr>
          <w:rFonts w:ascii="Times New Roman" w:hAnsi="Times New Roman"/>
          <w:sz w:val="20"/>
        </w:rPr>
      </w:pPr>
      <w:r>
        <w:rPr>
          <w:rFonts w:ascii="Times New Roman" w:hAnsi="Times New Roman"/>
          <w:i/>
          <w:color w:val="000000"/>
          <w:sz w:val="20"/>
        </w:rPr>
        <w:t>Share Transfer Tax and Stamp Duties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Danish share transfer tax or stamp duties are payable on transfer of the shares. </w:t>
      </w:r>
    </w:p>
    <w:p>
      <w:pPr>
        <w:pStyle w:val="TextBody"/>
        <w:bidi w:val="0"/>
        <w:jc w:val="center"/>
        <w:rPr>
          <w:rFonts w:ascii="Times New Roman" w:hAnsi="Times New Roman"/>
          <w:color w:val="000000"/>
          <w:sz w:val="20"/>
        </w:rPr>
      </w:pPr>
      <w:r>
        <w:rPr>
          <w:rFonts w:ascii="Times New Roman" w:hAnsi="Times New Roman"/>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Material U.S. Federal Income Tax Consequences to U.S. 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describes the material U.S. federal income tax consequences to U.S. Holders (as defined below) under present law of an investment in the ADSs. The effects of any applicable state or local laws, or other U.S. federal tax laws such as estate and gift tax laws, any alternative minimum taxes, or the Medicare contribution tax on net investment income, are not discussed. This summary applies only to U.S. Holders that hold the ADSs as capital assets (generally, property held for investment) and who have the U.S. dollar as their functional currency for U.S. federal income tax purposes. This discussion is based on the U.S. Internal Revenue Code of 1986, as amended, or the Code, U.S. Treasury regulations promulgated thereunder, or the Treasury Regulations,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does not address all U.S. federal income tax consequences relevant to a U.S. Holder’s particular circumstances or to U.S. Holders subject to particular rules,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expatriates and certain former citizens or long-term residents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whose functional currency is not the U.S. dollar;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holding the ADSs as part of a hedge, straddle or other risk reduction strategy or as part of a conversion transaction or other integrated investment;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banks, insurance companies, and other financial institutions;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 estate investment trusts or regulated investment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brokers, dealers or traders in securities, commodities or currencies;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partnerships, S corporations or other entities or arrangements treated as partnerships or pass-through entities for U.S. federal income tax purposes, and persons that hold ADSs through such entities or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tax-exempt organizations, “individual retirement accounts” or “Roth IRAs”;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who acquired the ADSs pursuant to the exercise of any employee share option or otherwise as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that own or are deemed to own 10% or more of the company’s equity by vote or value;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that hold their ADSs through a permanent establishment or fixed base outside the United States;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persons deemed to sell the ADSs under the constructive sale provisions of the Code. </w:t>
      </w:r>
    </w:p>
    <w:p>
      <w:pPr>
        <w:pStyle w:val="TextBody"/>
        <w:bidi w:val="0"/>
        <w:spacing w:before="360" w:after="283"/>
        <w:jc w:val="left"/>
        <w:rPr>
          <w:rFonts w:ascii="Times New Roman" w:hAnsi="Times New Roman"/>
          <w:sz w:val="20"/>
        </w:rPr>
      </w:pPr>
      <w:r>
        <w:rPr>
          <w:rFonts w:ascii="Times New Roman" w:hAnsi="Times New Roman"/>
          <w:b/>
          <w:color w:val="000000"/>
          <w:sz w:val="20"/>
        </w:rPr>
        <w:t>U.S. HOLDERS ARE URGED TO CONSULT THEIR TAX ADVISORS REGARDING THE APPLICATION OF THE U.S. FEDERAL INCOME TAX RULES TO THEIR PARTICULAR CIRCUMSTANCES AS WELL AS THE U.S. FEDERAL GIFT AND ESTATE AND U.S. STATE AND LOCAL AND NON-U.S. TAX CONSEQUENCES TO THEM OF THE PURCHASE, OWNERSHIP AND DISPOSITION OF THE ADSs.</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this discussion, a “U.S. Holder” is a beneficial owner of the ADSs that, for U.S. federal income tax purposes, is or is treated as any of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corporation, or other entity taxable as a corporation, created or organized under the laws of the United States, any state thereof or the District of Columbia; </w:t>
      </w:r>
    </w:p>
    <w:p>
      <w:pPr>
        <w:pStyle w:val="TextBody"/>
        <w:bidi w:val="0"/>
        <w:jc w:val="center"/>
        <w:rPr>
          <w:rFonts w:ascii="Times New Roman" w:hAnsi="Times New Roman"/>
          <w:color w:val="000000"/>
          <w:sz w:val="20"/>
        </w:rPr>
      </w:pPr>
      <w:r>
        <w:rPr>
          <w:rFonts w:ascii="Times New Roman" w:hAnsi="Times New Roman"/>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estate, the income of which is subject to U.S. federal income tax regardless of its source;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trust that (1) is subject to the supervision of a U.S. court and the control of one or more “United States persons” (within the meaning of Section 7701(a)(30) of the Code) or (2) has a valid election in effect under applicable Treasury Regulations to be treated as a United States person for U.S. federal income tax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partner in a partnership (or other entity or arrangement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Dividends and Other Distributions on the 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passive foreign investment company, or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However,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eligible for benefits under the Treaty, or if the ADSs are readily tradable on an established securities market in the United States,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ADSs representing ordinary shares generally are considered for these purposes to be readily tradable on an established securities market in the United States if they are listed on The Nasdaq Global Select Market, as our ADSs currently are. You should consult your tax advisor regarding the availability of these preferential tax rates under your particular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above in “Taxation—Danish Tax Considerations,” payments of dividends by us may be subject to Danish withholding tax. The rate of withholding tax applicable to U.S. Holders that are eligible for benefits under the Treaty is reduced to a maximum of 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U.S. federal income tax purposes, U.S. Holders will be treated as having received the amount of withheld Danish taxes,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w:t>
      </w:r>
    </w:p>
    <w:p>
      <w:pPr>
        <w:pStyle w:val="TextBody"/>
        <w:bidi w:val="0"/>
        <w:jc w:val="center"/>
        <w:rPr>
          <w:rFonts w:ascii="Times New Roman" w:hAnsi="Times New Roman"/>
          <w:color w:val="000000"/>
          <w:sz w:val="20"/>
        </w:rPr>
      </w:pPr>
      <w:r>
        <w:rPr>
          <w:rFonts w:ascii="Times New Roman" w:hAnsi="Times New Roman"/>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Dividends will generally constitute foreign-source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Any amount withheld in excess of the tax rate applicable to a U.S. Holder generally is not eligible to be claimed as a foreign tax credit, regardless of whether such amount is actually refunded or reclaimed. The limitation on foreign taxes eligible for credit is calculated separately with respect to specific classes of income. For this purpose, dividends distributed by us with respect to the ADSs generally will constitute “passive category income.” Certain Treasury Regulations may restrict the availability of a foreign tax credit based on the nature of the tax imposed by the foreign jurisdiction. However, under current IRS guidance, taxpayers generally may elect to determine the creditability of foreign taxes without regard to such restrictions for taxable years ending prior to the year further guidance is issued.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 </w:t>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Disposition of the 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U.S.-source income or loss for foreign tax credit limitation purposes. You should consult your tax advisor regarding the proper treatment of gain or loss in your particular circumstances. </w:t>
      </w:r>
    </w:p>
    <w:p>
      <w:pPr>
        <w:pStyle w:val="TextBody"/>
        <w:bidi w:val="0"/>
        <w:spacing w:before="240" w:after="283"/>
        <w:jc w:val="left"/>
        <w:rPr>
          <w:rFonts w:ascii="Times New Roman" w:hAnsi="Times New Roman"/>
          <w:sz w:val="20"/>
        </w:rPr>
      </w:pPr>
      <w:r>
        <w:rPr>
          <w:rFonts w:ascii="Times New Roman" w:hAnsi="Times New Roman"/>
          <w:b/>
          <w:i/>
          <w:color w:val="000000"/>
          <w:sz w:val="20"/>
        </w:rPr>
        <w:t>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Code and Treasury Regulations, the determination of PFIC status is fact-specific and cannot be made until after the close of the taxable year in question. Based on our market capitalization and the composition of our income, assets and operations, we do not believe we were a PFIC for U.S. federal income tax purposes for our taxable year ended December 31, 2025. However, this is a factual determination, and the application of the PFIC rules is subject to uncertainty in several respects, and we cannot assure you we will not be a PFIC for any taxable year. A non-U.S. corporation will be considered a PFIC for any taxable year if either: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least 75% of its gross income for such taxable year is passive income (as defined in the relevant provisions of the Code),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least 50% of the value of its assets (generally based on an average of the quarterly values of the assets during such taxable year) is attributable to assets that produce or are held for the production of passive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separate determination must be made each taxable year as to whether we are a PFIC (after the close of each such taxable year). Because the value of our assets, including unbooked goodwill,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 For these reasons, we cannot assure you we will not be a PFIC for any taxable year. </w:t>
      </w:r>
    </w:p>
    <w:p>
      <w:pPr>
        <w:pStyle w:val="TextBody"/>
        <w:bidi w:val="0"/>
        <w:jc w:val="center"/>
        <w:rPr>
          <w:rFonts w:ascii="Times New Roman" w:hAnsi="Times New Roman"/>
          <w:color w:val="000000"/>
          <w:sz w:val="20"/>
        </w:rPr>
      </w:pPr>
      <w:r>
        <w:rPr>
          <w:rFonts w:ascii="Times New Roman" w:hAnsi="Times New Roman"/>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“excess distribution” or gain will be allocated ratably over your holding period for the ADSs, </w:t>
      </w:r>
    </w:p>
    <w:p>
      <w:pPr>
        <w:pStyle w:val="TextBody"/>
        <w:bidi w:val="0"/>
        <w:jc w:val="left"/>
        <w:rPr>
          <w:color w:val="000000"/>
        </w:rPr>
      </w:pP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allocated to the current taxable year, and any taxable year before the first taxable year in your holding period in which we were a PFIC, will be treated as ordinary income,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allocated to each other year will be subject to the highest income tax rate in effect for that year and the interest charge generally applicable to underpayments of tax will be imposed on the resulting tax attributable to each such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Gains (but not losses) realized on the sale of the ADSs cannot be treated as capital gains, even if you hold the ADSs as capital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treated as a PFIC with respect to you for any taxable year, to the extent we own directly or indirectly equity in any non-U.S. corporations that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lower-tier PFICs.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 </w:t>
      </w:r>
    </w:p>
    <w:p>
      <w:pPr>
        <w:pStyle w:val="TextBody"/>
        <w:bidi w:val="0"/>
        <w:jc w:val="center"/>
        <w:rPr>
          <w:rFonts w:ascii="Times New Roman" w:hAnsi="Times New Roman"/>
          <w:color w:val="000000"/>
          <w:sz w:val="20"/>
        </w:rPr>
      </w:pPr>
      <w:r>
        <w:rPr>
          <w:rFonts w:ascii="Times New Roman" w:hAnsi="Times New Roman"/>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The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 </w:t>
      </w:r>
    </w:p>
    <w:p>
      <w:pPr>
        <w:pStyle w:val="TextBody"/>
        <w:bidi w:val="0"/>
        <w:jc w:val="left"/>
        <w:rPr>
          <w:color w:val="000000"/>
        </w:rPr>
      </w:pPr>
      <w:r>
        <w:rPr>
          <w:color w:val="00000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YOU ARE STRONGLY URGED TO CONSULT YOUR TAX ADVISOR REGARDING THE APPLICATION OF THE PFIC RULES TO YOUR INVESTMENT IN THE ADSs.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Information Reporting and Backup Withholding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fails to furnish the holder’s taxpayer identification number, which for an individual is ordinarily his or her social security number;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furnishes an incorrect taxpayer identification number;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notified by the IRS that the holder previously failed to properly report payments of interest or dividends;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fails to certify under penalties of perjury that the holder has furnished a correct taxpayer identification number and that the IRS has not notified the holder that the holder is subject to backup withholding.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jc w:val="center"/>
        <w:rPr>
          <w:rFonts w:ascii="Times New Roman" w:hAnsi="Times New Roman"/>
          <w:color w:val="000000"/>
          <w:sz w:val="20"/>
        </w:rPr>
      </w:pPr>
      <w:r>
        <w:rPr>
          <w:rFonts w:ascii="Times New Roman" w:hAnsi="Times New Roman"/>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Additional Reporting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Dividends and Paying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Statement by Experts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Documents on Display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 However, effective March 18, 2026, our directors and officers will be required to comply with the reporting obligations under Section 16(a) of the Exchange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Subsidiary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Annual Report to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submit any annual report provided to security holders in electronic format as an exhibit to a report on Form 6-K.</w:t>
      </w:r>
    </w:p>
    <w:p>
      <w:pPr>
        <w:pStyle w:val="TextBody"/>
        <w:bidi w:val="0"/>
        <w:jc w:val="center"/>
        <w:rPr>
          <w:rFonts w:ascii="Times New Roman" w:hAnsi="Times New Roman"/>
          <w:color w:val="000000"/>
          <w:sz w:val="20"/>
        </w:rPr>
      </w:pPr>
      <w:r>
        <w:rPr>
          <w:rFonts w:ascii="Times New Roman" w:hAnsi="Times New Roman"/>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item_11_quantitative_and_qualitative"/>
      <w:bookmarkEnd w:id="17"/>
      <w:r>
        <w:rPr>
          <w:rFonts w:ascii="Times New Roman" w:hAnsi="Times New Roman"/>
          <w:b/>
          <w:color w:val="000000"/>
          <w:sz w:val="20"/>
        </w:rPr>
        <w:t>Item 11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market risks related to changes in foreign currency exchange rates and interest rates. We do not enter into derivative financial instruments to manage our exposure to such risks. Further, we are exposed to credit risk, liquidity risk and inflation risk. For a description of our exposure to market risks, credit risk and liquidity risk, refer to Note 18, “Financial Risk Management.” Inflation affects us as our vendors may pass on any increased costs to us and accordingly increase our R&amp;D expenses, SG&amp;A expenses and cost of manufacturing. We do not believe that inflation had a material impact on our results of operation for the years ended December 31, 2025 and 2024.</w:t>
      </w:r>
    </w:p>
    <w:p>
      <w:pPr>
        <w:pStyle w:val="TextBody"/>
        <w:bidi w:val="0"/>
        <w:spacing w:before="360" w:after="283"/>
        <w:jc w:val="left"/>
        <w:rPr>
          <w:rFonts w:ascii="Times New Roman" w:hAnsi="Times New Roman"/>
          <w:sz w:val="20"/>
        </w:rPr>
      </w:pPr>
      <w:bookmarkStart w:id="18" w:name="item_12_description_of_securities_other"/>
      <w:bookmarkEnd w:id="18"/>
      <w:r>
        <w:rPr>
          <w:rFonts w:ascii="Times New Roman" w:hAnsi="Times New Roman"/>
          <w:b/>
          <w:color w:val="000000"/>
          <w:sz w:val="20"/>
        </w:rPr>
        <w:t>Item 12 Description of Securities Other than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Debt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Warrants and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Other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American Depositary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deposit agreement among us, the depositary and you, the ADS holders, sets out ADS holder rights as well as the rights and obligations of the depositary. A copy of the deposit agreement is incorporated by reference as an exhibit to this annual report. </w:t>
      </w:r>
    </w:p>
    <w:p>
      <w:pPr>
        <w:pStyle w:val="TextBody"/>
        <w:bidi w:val="0"/>
        <w:jc w:val="center"/>
        <w:rPr>
          <w:rFonts w:ascii="Times New Roman" w:hAnsi="Times New Roman"/>
          <w:color w:val="000000"/>
          <w:sz w:val="20"/>
        </w:rPr>
      </w:pPr>
      <w:r>
        <w:rPr>
          <w:rFonts w:ascii="Times New Roman" w:hAnsi="Times New Roman"/>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Fees and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Pursuant to the terms of the deposit agreement, the holders of ADSs will be required to pay the following fees: </w:t>
      </w:r>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r>
      <w:tr>
        <w:trPr/>
        <w:tc>
          <w:tcPr>
            <w:tcW w:w="60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Persons depositing or withdrawing ordinary shares or ADSs must pay:</w:t>
            </w:r>
          </w:p>
        </w:tc>
        <w:tc>
          <w:tcPr>
            <w:tcW w:w="41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For:</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$5.00 (or less) per 100 ADSs (or portion of 100 ADSs)</w:t>
            </w:r>
          </w:p>
        </w:tc>
        <w:tc>
          <w:tcPr>
            <w:tcW w:w="419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Issue of ADSs, including issues resulting from a distribution of ordinary shares or rights or other property</w:t>
            </w:r>
          </w:p>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Cancellation of ADSs for the purpose of withdrawal, including if the deposit agreement terminates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$0.05 (or less) per ADS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Any cash distribution to you</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A fee equivalent to the fee that would be payable if securities distributed to you had been ordinary shares and the shares had been deposited for issue of ADSs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Distribution of securities distributed to holders of deposited securities which are distributed by the depositary to you</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$0.05 (or less) per ADS per calendar year</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color w:val="000000"/>
              </w:rPr>
            </w:pPr>
            <w:r>
              <w:rPr>
                <w:color w:val="000000"/>
              </w:rPr>
              <w:t> </w:t>
            </w:r>
            <w:r>
              <w:rPr>
                <w:rFonts w:ascii="Times New Roman" w:hAnsi="Times New Roman"/>
                <w:color w:val="000000"/>
                <w:sz w:val="20"/>
              </w:rPr>
              <w:t>Depositary services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Registration or transfer fees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Transfer and registration of ordinary shares on our share register to or from the name of the depositary or its agent when you deposit or withdraw shares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Expenses of the depositary</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Cable (including SWIFT), telex and facsimile transmissions (when expressly provided in the deposit agreement)</w:t>
            </w:r>
          </w:p>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Converting foreign currency to U.S. dollars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Taxes and other governmental charges the depositary or the custodian have to pay on any ADS or share underlying an ADS, for example, share transfer taxes, stamp duty or withholding taxes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color w:val="000000"/>
              </w:rPr>
            </w:pPr>
            <w:r>
              <w:rPr>
                <w:color w:val="000000"/>
              </w:rPr>
              <w:t> </w:t>
            </w:r>
            <w:r>
              <w:rPr>
                <w:rFonts w:ascii="Times New Roman" w:hAnsi="Times New Roman"/>
                <w:color w:val="000000"/>
                <w:sz w:val="20"/>
              </w:rPr>
              <w:t>As necessary</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 xml:space="preserve">Any charges incurred by the depositary or its agents for servicing the deposited securities </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As necessary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 </w:t>
      </w:r>
    </w:p>
    <w:p>
      <w:pPr>
        <w:pStyle w:val="TextBody"/>
        <w:bidi w:val="0"/>
        <w:jc w:val="center"/>
        <w:rPr>
          <w:rFonts w:ascii="Times New Roman" w:hAnsi="Times New Roman"/>
          <w:color w:val="000000"/>
          <w:sz w:val="20"/>
        </w:rPr>
      </w:pPr>
      <w:r>
        <w:rPr>
          <w:rFonts w:ascii="Times New Roman" w:hAnsi="Times New Roman"/>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9" w:name="part_ii"/>
      <w:bookmarkEnd w:id="19"/>
      <w:r>
        <w:rPr>
          <w:rFonts w:ascii="Times New Roman" w:hAnsi="Times New Roman"/>
          <w:b/>
          <w:caps/>
          <w:color w:val="000000"/>
          <w:sz w:val="20"/>
        </w:rPr>
        <w:t>PART II</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20" w:name="item_13_defaults_dividend_arrearages"/>
      <w:bookmarkEnd w:id="20"/>
      <w:r>
        <w:rPr>
          <w:rFonts w:ascii="Times New Roman" w:hAnsi="Times New Roman"/>
          <w:b/>
          <w:color w:val="000000"/>
          <w:sz w:val="20"/>
        </w:rPr>
        <w:t>Item 13 Defaults, Dividend Arrearages and Delinquencies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21" w:name="item_14_material_modification_to_the"/>
      <w:bookmarkEnd w:id="21"/>
      <w:r>
        <w:rPr>
          <w:rFonts w:ascii="Times New Roman" w:hAnsi="Times New Roman"/>
          <w:b/>
          <w:color w:val="000000"/>
          <w:sz w:val="20"/>
        </w:rPr>
        <w:t>Item 14 Material Modification to the Rights of Security Holders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Material Modifications to the Rights of Securities 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r>
        <w:rPr>
          <w:rFonts w:ascii="Times New Roman" w:hAnsi="Times New Roman"/>
          <w:b/>
          <w:color w:val="000000"/>
          <w:sz w:val="20"/>
        </w:rPr>
        <w:t>B.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22" w:name="item_15_control_and_procedures"/>
      <w:bookmarkEnd w:id="22"/>
      <w:r>
        <w:rPr>
          <w:rFonts w:ascii="Times New Roman" w:hAnsi="Times New Roman"/>
          <w:b/>
          <w:color w:val="000000"/>
          <w:sz w:val="20"/>
        </w:rPr>
        <w:t>Item 15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chief executive officer and principal financial and accounting officers, after evaluating the effectiveness of our disclosure controls and procedures (as defined in Rule 13a-15(e) under the Exchange Act) as of December 31, 2025, have concluded that based on the evaluation of these controls and procedures required by Rule 13a-15(b) of the Exchange Act, our disclosure controls and procedures were effective. </w:t>
      </w:r>
    </w:p>
    <w:p>
      <w:pPr>
        <w:pStyle w:val="TextBody"/>
        <w:bidi w:val="0"/>
        <w:spacing w:before="360" w:after="283"/>
        <w:jc w:val="left"/>
        <w:rPr>
          <w:rFonts w:ascii="Times New Roman" w:hAnsi="Times New Roman"/>
          <w:sz w:val="20"/>
        </w:rPr>
      </w:pPr>
      <w:r>
        <w:rPr>
          <w:rFonts w:ascii="Times New Roman" w:hAnsi="Times New Roman"/>
          <w:b/>
          <w:color w:val="000000"/>
          <w:sz w:val="20"/>
        </w:rPr>
        <w:t>B. 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effective internal control over financial reporting and for its assessment of the effectiveness of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assessed the effectiveness of our internal control over financial reporting as of December 31, 2025. This assessment was performed under the directions and supervision of our Chief Executive Officer and our principal financial and accounting officers and based on the criteria established in Internal Control—Integrated Framework (2013) issued by the Committee of Sponsoring Organizations (COSO) of the Treadway Commission. </w:t>
      </w:r>
    </w:p>
    <w:p>
      <w:pPr>
        <w:pStyle w:val="TextBody"/>
        <w:bidi w:val="0"/>
        <w:jc w:val="center"/>
        <w:rPr>
          <w:rFonts w:ascii="Times New Roman" w:hAnsi="Times New Roman"/>
          <w:color w:val="000000"/>
          <w:sz w:val="20"/>
        </w:rPr>
      </w:pPr>
      <w:r>
        <w:rPr>
          <w:rFonts w:ascii="Times New Roman" w:hAnsi="Times New Roman"/>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C. Attestation Report of the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internal control over financial reporting as of December 31, 2025 has been audited by Deloitte Statsautoriseret Revisionspartnerselskab, an independent registered public accounting firm, as stated in their report, which appears in Item 18 below. </w:t>
      </w:r>
    </w:p>
    <w:p>
      <w:pPr>
        <w:pStyle w:val="TextBody"/>
        <w:bidi w:val="0"/>
        <w:spacing w:before="360" w:after="283"/>
        <w:jc w:val="left"/>
        <w:rPr>
          <w:rFonts w:ascii="Times New Roman" w:hAnsi="Times New Roman"/>
          <w:sz w:val="20"/>
        </w:rPr>
      </w:pPr>
      <w:r>
        <w:rPr>
          <w:rFonts w:ascii="Times New Roman" w:hAnsi="Times New Roman"/>
          <w:b/>
          <w:color w:val="000000"/>
          <w:sz w:val="20"/>
        </w:rPr>
        <w:t>D.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 13a-15(f) under the Exchange Act) that occurred during the period covered by this annual report that have materially affected, or is reasonably likely to materially affect, internal control over financial reporting. </w:t>
      </w:r>
    </w:p>
    <w:p>
      <w:pPr>
        <w:pStyle w:val="TextBody"/>
        <w:bidi w:val="0"/>
        <w:spacing w:before="360" w:after="283"/>
        <w:jc w:val="left"/>
        <w:rPr>
          <w:rFonts w:ascii="Times New Roman" w:hAnsi="Times New Roman"/>
          <w:sz w:val="20"/>
        </w:rPr>
      </w:pPr>
      <w:bookmarkStart w:id="23" w:name="item_16a_audit_committee_financial"/>
      <w:bookmarkEnd w:id="23"/>
      <w:r>
        <w:rPr>
          <w:rFonts w:ascii="Times New Roman" w:hAnsi="Times New Roman"/>
          <w:b/>
          <w:color w:val="000000"/>
          <w:sz w:val="20"/>
        </w:rPr>
        <w:t>Item 16A Audit Committee Financial Expert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Lars Holtug, an independent director under Nasdaq Rule 5605(a)(2) and Rule 10A-3 of the Exchange Act and a member of the Audit Committee, qualifies as an “audit committee financial expert,” as defined in Item 16A(b) of Form 20-F and as determined by our board of directors. </w:t>
      </w:r>
    </w:p>
    <w:p>
      <w:pPr>
        <w:pStyle w:val="TextBody"/>
        <w:bidi w:val="0"/>
        <w:spacing w:before="360" w:after="283"/>
        <w:jc w:val="left"/>
        <w:rPr>
          <w:rFonts w:ascii="Times New Roman" w:hAnsi="Times New Roman"/>
          <w:sz w:val="20"/>
        </w:rPr>
      </w:pPr>
      <w:bookmarkStart w:id="24" w:name="item_16b_code_of_ethics"/>
      <w:bookmarkEnd w:id="24"/>
      <w:r>
        <w:rPr>
          <w:rFonts w:ascii="Times New Roman" w:hAnsi="Times New Roman"/>
          <w:b/>
          <w:color w:val="000000"/>
          <w:sz w:val="20"/>
        </w:rPr>
        <w:t>Item 16B Code of Ethics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 </w:t>
      </w:r>
    </w:p>
    <w:p>
      <w:pPr>
        <w:pStyle w:val="TextBody"/>
        <w:bidi w:val="0"/>
        <w:spacing w:before="360" w:after="283"/>
        <w:jc w:val="left"/>
        <w:rPr>
          <w:rFonts w:ascii="Times New Roman" w:hAnsi="Times New Roman"/>
          <w:sz w:val="20"/>
        </w:rPr>
      </w:pPr>
      <w:bookmarkStart w:id="25" w:name="item_16c_principal_accountant_fees_and"/>
      <w:bookmarkEnd w:id="25"/>
      <w:r>
        <w:rPr>
          <w:rFonts w:ascii="Times New Roman" w:hAnsi="Times New Roman"/>
          <w:b/>
          <w:color w:val="000000"/>
          <w:sz w:val="20"/>
        </w:rPr>
        <w:t>Item 16C Principal Accountant Fees and Services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for each of the years indicated, the fees billed by our independent public accountants and the percentage of each of the fees out of the total amount billed by the accountants. </w:t>
      </w:r>
    </w:p>
    <w:tbl>
      <w:tblPr>
        <w:tblW w:w="5708" w:type="dxa"/>
        <w:jc w:val="left"/>
        <w:tblInd w:w="0" w:type="dxa"/>
        <w:tblLayout w:type="fixed"/>
        <w:tblCellMar>
          <w:top w:w="28" w:type="dxa"/>
          <w:left w:w="28" w:type="dxa"/>
          <w:bottom w:w="28" w:type="dxa"/>
          <w:right w:w="28" w:type="dxa"/>
        </w:tblCellMar>
      </w:tblPr>
      <w:tblGrid>
        <w:gridCol w:w="1561"/>
        <w:gridCol w:w="146"/>
        <w:gridCol w:w="231"/>
        <w:gridCol w:w="669"/>
        <w:gridCol w:w="146"/>
        <w:gridCol w:w="146"/>
        <w:gridCol w:w="146"/>
        <w:gridCol w:w="421"/>
        <w:gridCol w:w="146"/>
        <w:gridCol w:w="146"/>
        <w:gridCol w:w="183"/>
        <w:gridCol w:w="717"/>
        <w:gridCol w:w="146"/>
        <w:gridCol w:w="146"/>
        <w:gridCol w:w="146"/>
        <w:gridCol w:w="42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Audit Fees </w:t>
      </w:r>
      <w:r>
        <w:rPr>
          <w:rFonts w:ascii="Times New Roman" w:hAnsi="Times New Roman"/>
          <w:color w:val="000000"/>
          <w:sz w:val="20"/>
        </w:rPr>
        <w:t xml:space="preserve">are defined as the standard audit work that needs to be performed each year to issue opinions on our consolidated financial statements and to issue reports on our local statutory financial statements. Also included are services that can only be provided by our auditor, such as reviews of quarterly financial results, consents and comfort letters and any other audit services required for SEC or other regulatory filings.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Audit Related Fees </w:t>
      </w:r>
      <w:r>
        <w:rPr>
          <w:rFonts w:ascii="Times New Roman" w:hAnsi="Times New Roman"/>
          <w:color w:val="000000"/>
          <w:sz w:val="20"/>
        </w:rPr>
        <w:t xml:space="preserve">include those other assurance services provided by the independent auditor but not restricted to those that can only be provided by the auditor signing the audit report. </w:t>
      </w:r>
    </w:p>
    <w:p>
      <w:pPr>
        <w:pStyle w:val="TextBody"/>
        <w:bidi w:val="0"/>
        <w:jc w:val="center"/>
        <w:rPr>
          <w:rFonts w:ascii="Times New Roman" w:hAnsi="Times New Roman"/>
          <w:color w:val="000000"/>
          <w:sz w:val="20"/>
        </w:rPr>
      </w:pPr>
      <w:r>
        <w:rPr>
          <w:rFonts w:ascii="Times New Roman" w:hAnsi="Times New Roman"/>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Tax Fees </w:t>
      </w:r>
      <w:r>
        <w:rPr>
          <w:rFonts w:ascii="Times New Roman" w:hAnsi="Times New Roman"/>
          <w:color w:val="000000"/>
          <w:sz w:val="20"/>
        </w:rPr>
        <w:t xml:space="preserve">relate to the aggregate fees billed in each of the last two fiscal years for professional services rendered by the principal accountant for tax compliance, tax advice, and tax planning.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All Other Fees </w:t>
      </w:r>
      <w:r>
        <w:rPr>
          <w:rFonts w:ascii="Times New Roman" w:hAnsi="Times New Roman"/>
          <w:color w:val="000000"/>
          <w:sz w:val="20"/>
        </w:rPr>
        <w:t xml:space="preserve">are any additional amounts billed for products and services provided by the principal accountant. </w:t>
      </w:r>
    </w:p>
    <w:p>
      <w:pPr>
        <w:pStyle w:val="TextBody"/>
        <w:bidi w:val="0"/>
        <w:spacing w:before="240" w:after="283"/>
        <w:jc w:val="left"/>
        <w:rPr>
          <w:rFonts w:ascii="Times New Roman" w:hAnsi="Times New Roman"/>
          <w:sz w:val="20"/>
        </w:rPr>
      </w:pPr>
      <w:r>
        <w:rPr>
          <w:rFonts w:ascii="Times New Roman" w:hAnsi="Times New Roman"/>
          <w:b/>
          <w:color w:val="000000"/>
          <w:sz w:val="20"/>
        </w:rPr>
        <w:t>Pre-Approval Policies and Procedures for Non-Audit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adopted a policy pursuant to which we will not engage our auditors to perform any non-audit services unless the audit committee pre-approves the service. Pursuant to this policy, our Audit Committee assesses and pre-approves all audit and non-audit services provided by our auditors.</w:t>
      </w:r>
    </w:p>
    <w:p>
      <w:pPr>
        <w:pStyle w:val="TextBody"/>
        <w:bidi w:val="0"/>
        <w:spacing w:before="360" w:after="283"/>
        <w:jc w:val="left"/>
        <w:rPr>
          <w:rFonts w:ascii="Times New Roman" w:hAnsi="Times New Roman"/>
          <w:sz w:val="20"/>
        </w:rPr>
      </w:pPr>
      <w:bookmarkStart w:id="26" w:name="item_16d_exemptions_from_the_listing"/>
      <w:bookmarkEnd w:id="26"/>
      <w:r>
        <w:rPr>
          <w:rFonts w:ascii="Times New Roman" w:hAnsi="Times New Roman"/>
          <w:b/>
          <w:color w:val="000000"/>
          <w:sz w:val="20"/>
        </w:rPr>
        <w:t>Item 16D Exemptions from the Listing Standards for Audit Committees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120"/>
        <w:jc w:val="left"/>
        <w:rPr>
          <w:rFonts w:ascii="Times New Roman" w:hAnsi="Times New Roman"/>
          <w:sz w:val="20"/>
        </w:rPr>
      </w:pPr>
      <w:bookmarkStart w:id="27" w:name="item_16e_purchases_of_equity_securities"/>
      <w:bookmarkEnd w:id="27"/>
      <w:r>
        <w:rPr>
          <w:rFonts w:ascii="Times New Roman" w:hAnsi="Times New Roman"/>
          <w:b/>
          <w:color w:val="000000"/>
          <w:sz w:val="20"/>
        </w:rPr>
        <w:t>Item 16E Purchases of Equity Securities by the Issuer and Affiliated Purchasers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table below is a summary of the shares repurchased by us during the 2025 fiscal year. </w:t>
      </w:r>
    </w:p>
    <w:tbl>
      <w:tblPr>
        <w:tblW w:w="9589" w:type="dxa"/>
        <w:jc w:val="left"/>
        <w:tblInd w:w="0" w:type="dxa"/>
        <w:tblLayout w:type="fixed"/>
        <w:tblCellMar>
          <w:top w:w="28" w:type="dxa"/>
          <w:left w:w="28" w:type="dxa"/>
          <w:bottom w:w="28" w:type="dxa"/>
          <w:right w:w="28" w:type="dxa"/>
        </w:tblCellMar>
      </w:tblPr>
      <w:tblGrid>
        <w:gridCol w:w="2656"/>
        <w:gridCol w:w="146"/>
        <w:gridCol w:w="1321"/>
        <w:gridCol w:w="146"/>
        <w:gridCol w:w="1456"/>
        <w:gridCol w:w="146"/>
        <w:gridCol w:w="1681"/>
        <w:gridCol w:w="146"/>
        <w:gridCol w:w="18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ADSs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Price Paid per</w:t>
              <w:br/>
              <w:t>ADS (US$)*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ADSs Purchased</w:t>
              <w:br/>
              <w:t>as Part of Publicly</w:t>
              <w:br/>
              <w:t>Announced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w:t>
              <w:br/>
              <w:t>of Shares that May Yet</w:t>
              <w:br/>
              <w:t>Be Purchased Under the</w:t>
              <w:br/>
              <w:t>Plans or Programs</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2025-March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pPr>
      <w:r>
        <w:rPr>
          <w:rFonts w:ascii="Times New Roman" w:hAnsi="Times New Roman"/>
          <w:color w:val="000000"/>
          <w:sz w:val="18"/>
        </w:rPr>
        <w:t>On February 12, 2025, we announced that our Board of Directors authorized the repurchase of up to $18.25 million of our ADSs. The repurchase program had no expiration date</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2026, we also announced that our Board has also authorized a $120 million share repurchase program (the “Share Repurchase Program”). Purchases under the Share Repurchase Program may be made from time to time through a variety of methods, which may include open-market purchases, privately negotiated transactions, or other methods permitted under applicable securities laws. The timing and amount of any repurchases pursuant to the Share Repurchase Program will be determined based on market conditions, share price and other factors. The Share Repurchase Program does not require us to repurchase any specific number of shares, and may be modified, suspended or terminated at any time without notice.</w:t>
      </w:r>
    </w:p>
    <w:p>
      <w:pPr>
        <w:pStyle w:val="TextBody"/>
        <w:bidi w:val="0"/>
        <w:spacing w:before="360" w:after="283"/>
        <w:jc w:val="left"/>
        <w:rPr>
          <w:rFonts w:ascii="Times New Roman" w:hAnsi="Times New Roman"/>
          <w:sz w:val="20"/>
        </w:rPr>
      </w:pPr>
      <w:bookmarkStart w:id="28" w:name="item_16f_change_in_registrants"/>
      <w:bookmarkEnd w:id="28"/>
      <w:r>
        <w:rPr>
          <w:rFonts w:ascii="Times New Roman" w:hAnsi="Times New Roman"/>
          <w:b/>
          <w:color w:val="000000"/>
          <w:sz w:val="20"/>
        </w:rPr>
        <w:t>Item 16F Change in Registrant’s Certifying Accountant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29" w:name="item_16g_corporate_governance"/>
      <w:bookmarkEnd w:id="29"/>
      <w:r>
        <w:rPr>
          <w:rFonts w:ascii="Times New Roman" w:hAnsi="Times New Roman"/>
          <w:b/>
          <w:color w:val="000000"/>
          <w:sz w:val="20"/>
        </w:rPr>
        <w:t>Item 16G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 </w:t>
      </w:r>
    </w:p>
    <w:p>
      <w:pPr>
        <w:pStyle w:val="TextBody"/>
        <w:bidi w:val="0"/>
        <w:jc w:val="center"/>
        <w:rPr>
          <w:rFonts w:ascii="Times New Roman" w:hAnsi="Times New Roman"/>
          <w:color w:val="000000"/>
          <w:sz w:val="20"/>
        </w:rPr>
      </w:pPr>
      <w:r>
        <w:rPr>
          <w:rFonts w:ascii="Times New Roman" w:hAnsi="Times New Roman"/>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intend to provide shareholders with an agenda and other relevant documents for the general meeting of shareholders.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shareholders’ approval for amendments to our existing warrant incentive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March 18, 2026, members of our board of directors and our officers (as defined in Rule 16a-1(f) under the U.S. Securities Exchange Act of 1934, as amended, or the Exchange Act) will be subject to the reporting obligations under Section 16(a) of the Exchange Act. Additionally, they are subject to the obligations to report changes in share ownership under Section 13 of the Exchange Act and related SEC rules, if applicable. </w:t>
      </w:r>
    </w:p>
    <w:p>
      <w:pPr>
        <w:pStyle w:val="TextBody"/>
        <w:bidi w:val="0"/>
        <w:spacing w:before="360" w:after="283"/>
        <w:jc w:val="left"/>
        <w:rPr>
          <w:rFonts w:ascii="Times New Roman" w:hAnsi="Times New Roman"/>
          <w:sz w:val="20"/>
        </w:rPr>
      </w:pPr>
      <w:bookmarkStart w:id="30" w:name="item_16h_mine_safety_disclosure"/>
      <w:bookmarkEnd w:id="30"/>
      <w:r>
        <w:rPr>
          <w:rFonts w:ascii="Times New Roman" w:hAnsi="Times New Roman"/>
          <w:b/>
          <w:color w:val="000000"/>
          <w:sz w:val="20"/>
        </w:rPr>
        <w:t>Item 16H Mine Safety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31" w:name="item_16i_disclosure_regarding_foreign"/>
      <w:bookmarkEnd w:id="31"/>
      <w:r>
        <w:rPr>
          <w:rFonts w:ascii="Times New Roman" w:hAnsi="Times New Roman"/>
          <w:b/>
          <w:color w:val="000000"/>
          <w:sz w:val="20"/>
        </w:rPr>
        <w:t>Item 16I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32" w:name="item_16j_insider_trading_policies"/>
      <w:bookmarkEnd w:id="32"/>
      <w:r>
        <w:rPr>
          <w:rFonts w:ascii="Times New Roman" w:hAnsi="Times New Roman"/>
          <w:b/>
          <w:color w:val="000000"/>
          <w:sz w:val="20"/>
        </w:rPr>
        <w:t>Item 16J Insider Trading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governing the purchase, sale, and other dispositions of our securities by directors, senior management, and employees. A copy of the insider trading policy is filed as an exhibit to this annual report.</w:t>
      </w:r>
    </w:p>
    <w:p>
      <w:pPr>
        <w:pStyle w:val="TextBody"/>
        <w:bidi w:val="0"/>
        <w:spacing w:before="360" w:after="283"/>
        <w:jc w:val="left"/>
        <w:rPr>
          <w:rFonts w:ascii="Times New Roman" w:hAnsi="Times New Roman"/>
          <w:sz w:val="20"/>
        </w:rPr>
      </w:pPr>
      <w:bookmarkStart w:id="33" w:name="item_16k_cybersecurity"/>
      <w:bookmarkEnd w:id="33"/>
      <w:r>
        <w:rPr>
          <w:rFonts w:ascii="Times New Roman" w:hAnsi="Times New Roman"/>
          <w:b/>
          <w:color w:val="000000"/>
          <w:sz w:val="20"/>
        </w:rPr>
        <w:t>Item 16K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and implemented a cybersecurity risk management program intended to safeguard the confidentiality and integrity of the information we collect and process, prevent unauthorized access to our information technology (“IT”) systems and data, and ensure availability of our IT systems and data according to defined business requirements. Our cybersecurity risk management program includes a cybersecurity incident response plan.</w:t>
      </w:r>
    </w:p>
    <w:p>
      <w:pPr>
        <w:pStyle w:val="TextBody"/>
        <w:bidi w:val="0"/>
        <w:jc w:val="center"/>
        <w:rPr>
          <w:rFonts w:ascii="Times New Roman" w:hAnsi="Times New Roman"/>
          <w:color w:val="000000"/>
          <w:sz w:val="20"/>
        </w:rPr>
      </w:pPr>
      <w:r>
        <w:rPr>
          <w:rFonts w:ascii="Times New Roman" w:hAnsi="Times New Roman"/>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Information Security Policy for Global IT outlines the organizational responsibilities for maintaining a strong security posture for our IT systems and sets forth the IT security measures and controls that are required to be in place. This policy covers all IT systems that process Company information. Our Security Management team is responsible for ensuring internal security compliance and for managing IT vendors.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designed our security program around the International Organization for Standardization/International Electrotechnical Commission (“ISO/IEC”) 27001 standard on a strategic and tactical level, while our operational program is maintained in accordance with the Center for Internet Security (“CIS”) Critical Security Controls framework. This does not imply that we meet any particular technical standards, specifications, or requirements, only that we use the ISO/IEC and CIS Controls standards as guides to help us identify, assess, and manage cybersecurity risks relevant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external and internal Security Operations Center (SOC) performing advanced threat detection and response across our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controls;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w:t>
      </w:r>
      <w:r>
        <w:rPr>
          <w:color w:val="000000"/>
        </w:rPr>
        <w:t xml:space="preserve"> </w:t>
      </w:r>
      <w:r>
        <w:rPr>
          <w:rFonts w:ascii="Times New Roman" w:hAnsi="Times New Roman"/>
          <w:color w:val="000000"/>
          <w:sz w:val="20"/>
        </w:rPr>
        <w:t>defined process for registration, classification and escalation of any incidents to a named IT Incident Manager and incident response team, which includes relevant members of the IT management team, the compliance team, business process owners and potentially external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awareness campaigns for Company employees via various channels (intranet, direct mail, screen savers, etc.);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Secure access control measures applied to critical IT systems, equipment and devices, designed to prevent unauthorized users, processes, and devices from accessing IT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has delegated the oversight of cybersecurity and other information technology risks to the executive board. The executive board oversees the Security Management team's implementation of our cybersecurity risk management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board receives regular updates from the Security Management team on our cybersecurity risks. In addition, the Security Management team updates the executive board, as necessary, regarding any material cybersecurity incidents, as well as any incidents with lesser impact potential.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board reports to the full Board regarding its activities, including those related to cybersecurity. The full Board also receives briefings from management on our cyber risk management program. Board members receive presentations on cybersecurity topics from our Security Management team.</w:t>
      </w:r>
    </w:p>
    <w:p>
      <w:pPr>
        <w:pStyle w:val="TextBody"/>
        <w:bidi w:val="0"/>
        <w:jc w:val="center"/>
        <w:rPr>
          <w:rFonts w:ascii="Times New Roman" w:hAnsi="Times New Roman"/>
          <w:color w:val="000000"/>
          <w:sz w:val="20"/>
        </w:rPr>
      </w:pPr>
      <w:r>
        <w:rPr>
          <w:rFonts w:ascii="Times New Roman" w:hAnsi="Times New Roman"/>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Security Management team is chaired by the Chief Information Officer and includes the Global Head of Digitalization and Cyber Security,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Management team's background includes experience in regulatory compliance, cloud computing and infrastructure, and cyber incident response.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Security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as well as alerts and reports produced by security tools deployed in our IT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management that is part of the Corporate Management Group signs off on the overall strategic direction for IT security and ensures alignment with our overall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established a dedicated Security Organization Unit to drive alignment across all key security functions within the company. This unit is chaired by the Chief Information Officer and includes representatives with oversight of critical areas such as IT Compliance, AI &amp; Automation, Global Service Desk, Infrastructure, Integration, and Data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the responsibility of the Security Organization Unit to approve the Company's IT security roadmap, ensure allocation and prioritization of resources, and to act as the escalation point for IT security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named IT Director is assigned the responsibility of maintaining IT security across our global organization. This responsibility includes defining and driving IT security roadmap initiatives, defining and implementing activities needed to drive an IT security awareness program, supporting the assessment of new IT systems and vendors, and acting as the leader and point person in the event of a major security incident.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Operational responsibility resides with the related product teams. The product teams are responsible for ensuring effective and updated security technologies are used in the day-to-day operational procedures, and for maintaining, operating and implementing applications and technologies securely across business areas within the Company. </w:t>
      </w:r>
    </w:p>
    <w:p>
      <w:pPr>
        <w:pStyle w:val="TextBody"/>
        <w:bidi w:val="0"/>
        <w:jc w:val="center"/>
        <w:rPr>
          <w:rFonts w:ascii="Times New Roman" w:hAnsi="Times New Roman"/>
          <w:color w:val="000000"/>
          <w:sz w:val="20"/>
        </w:rPr>
      </w:pPr>
      <w:r>
        <w:rPr>
          <w:rFonts w:ascii="Times New Roman" w:hAnsi="Times New Roman"/>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4" w:name="part_iii"/>
      <w:bookmarkEnd w:id="34"/>
      <w:r>
        <w:rPr>
          <w:rFonts w:ascii="Times New Roman" w:hAnsi="Times New Roman"/>
          <w:b/>
          <w:caps/>
          <w:color w:val="000000"/>
          <w:sz w:val="20"/>
        </w:rPr>
        <w:t>PART III</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35" w:name="item_17_financial_statements"/>
      <w:bookmarkEnd w:id="35"/>
      <w:r>
        <w:rPr>
          <w:rFonts w:ascii="Times New Roman" w:hAnsi="Times New Roman"/>
          <w:b/>
          <w:color w:val="000000"/>
          <w:sz w:val="20"/>
        </w:rPr>
        <w:t>Item 17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“Item 18 Financial Statements.” </w:t>
      </w:r>
    </w:p>
    <w:p>
      <w:pPr>
        <w:pStyle w:val="TextBody"/>
        <w:bidi w:val="0"/>
        <w:spacing w:before="360" w:after="283"/>
        <w:jc w:val="left"/>
        <w:rPr>
          <w:rFonts w:ascii="Times New Roman" w:hAnsi="Times New Roman"/>
          <w:sz w:val="20"/>
        </w:rPr>
      </w:pPr>
      <w:bookmarkStart w:id="36" w:name="item_18_financial_statements"/>
      <w:bookmarkEnd w:id="36"/>
      <w:r>
        <w:rPr>
          <w:rFonts w:ascii="Times New Roman" w:hAnsi="Times New Roman"/>
          <w:b/>
          <w:color w:val="000000"/>
          <w:sz w:val="20"/>
        </w:rPr>
        <w:t>Item 18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54"/>
        <w:gridCol w:w="751"/>
      </w:tblGrid>
      <w:tr>
        <w:trPr/>
        <w:tc>
          <w:tcPr>
            <w:tcW w:w="9454"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r>
      <w:tr>
        <w:trPr/>
        <w:tc>
          <w:tcPr>
            <w:tcW w:w="9454"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b/>
                <w:color w:val="000000"/>
                <w:sz w:val="16"/>
              </w:rPr>
            </w:pPr>
            <w:r>
              <w:rPr>
                <w:rFonts w:ascii="Times New Roman" w:hAnsi="Times New Roman"/>
                <w:b/>
                <w:color w:val="000000"/>
                <w:sz w:val="16"/>
              </w:rPr>
              <w:t>Page</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color w:val="000000"/>
              </w:rPr>
              <w:t> </w:t>
            </w:r>
            <w:r>
              <w:rPr>
                <w:rFonts w:ascii="Times New Roman" w:hAnsi="Times New Roman"/>
                <w:color w:val="000000"/>
                <w:sz w:val="20"/>
              </w:rPr>
              <w:t>F-2</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profit_or_loss">
              <w:r>
                <w:rPr>
                  <w:rStyle w:val="InternetLink"/>
                  <w:rFonts w:ascii="Times New Roman" w:hAnsi="Times New Roman"/>
                  <w:color w:val="0000FF"/>
                  <w:sz w:val="20"/>
                  <w:u w:val="single"/>
                </w:rPr>
                <w:t>Consolidated Statements of Profit or (Loss) and Other Comprehensive Income or (Loss) for the Years Ended December 31, 2025, 2024 and 2023</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color w:val="000000"/>
              </w:rPr>
              <w:t> </w:t>
            </w:r>
            <w:r>
              <w:rPr>
                <w:rFonts w:ascii="Times New Roman" w:hAnsi="Times New Roman"/>
                <w:color w:val="000000"/>
                <w:sz w:val="20"/>
              </w:rPr>
              <w:t>F-5</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financial_position">
              <w:r>
                <w:rPr>
                  <w:rStyle w:val="InternetLink"/>
                  <w:rFonts w:ascii="Times New Roman" w:hAnsi="Times New Roman"/>
                  <w:color w:val="0000FF"/>
                  <w:sz w:val="20"/>
                  <w:u w:val="single"/>
                </w:rPr>
                <w:t>Consolidated Statements of Financial Position as of December 31, 2025 and 2024</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color w:val="000000"/>
              </w:rPr>
              <w:t> </w:t>
            </w:r>
            <w:r>
              <w:rPr>
                <w:rFonts w:ascii="Times New Roman" w:hAnsi="Times New Roman"/>
                <w:color w:val="000000"/>
                <w:sz w:val="20"/>
              </w:rPr>
              <w:t>F-6</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hanges_in_equity">
              <w:r>
                <w:rPr>
                  <w:rStyle w:val="InternetLink"/>
                  <w:rFonts w:ascii="Times New Roman" w:hAnsi="Times New Roman"/>
                  <w:color w:val="0000FF"/>
                  <w:sz w:val="20"/>
                  <w:u w:val="single"/>
                </w:rPr>
                <w:t>Consolidated Statements of Changes in Equity as of December 31, 2025, 2024 and 2023</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color w:val="000000"/>
              </w:rPr>
              <w:t> </w:t>
            </w:r>
            <w:r>
              <w:rPr>
                <w:rFonts w:ascii="Times New Roman" w:hAnsi="Times New Roman"/>
                <w:color w:val="000000"/>
                <w:sz w:val="20"/>
              </w:rPr>
              <w:t>F-7</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sh_flow_statements">
              <w:r>
                <w:rPr>
                  <w:rStyle w:val="InternetLink"/>
                  <w:rFonts w:ascii="Times New Roman" w:hAnsi="Times New Roman"/>
                  <w:color w:val="0000FF"/>
                  <w:sz w:val="20"/>
                  <w:u w:val="single"/>
                </w:rPr>
                <w:t>Consolidated Statements of Cash Flows for the Years Ended December 31, 2025, 2024 and 2023</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pPr>
            <w:r>
              <w:rPr>
                <w:color w:val="000000"/>
              </w:rPr>
              <w:t> </w:t>
            </w:r>
            <w:r>
              <w:rPr>
                <w:rFonts w:ascii="Times New Roman" w:hAnsi="Times New Roman"/>
                <w:color w:val="000000"/>
                <w:sz w:val="20"/>
              </w:rPr>
              <w:t>F-8</w:t>
            </w:r>
          </w:p>
        </w:tc>
      </w:tr>
      <w:tr>
        <w:trPr/>
        <w:tc>
          <w:tcPr>
            <w:tcW w:w="94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the Consolidated Financial Statements</w:t>
              </w:r>
            </w:hyperlink>
          </w:p>
        </w:tc>
        <w:tc>
          <w:tcPr>
            <w:tcW w:w="751" w:type="dxa"/>
            <w:tcBorders/>
            <w:tcMar>
              <w:top w:w="0" w:type="dxa"/>
              <w:left w:w="0" w:type="dxa"/>
              <w:bottom w:w="0" w:type="dxa"/>
              <w:right w:w="0" w:type="dxa"/>
            </w:tcMar>
            <w:vAlign w:val="center"/>
          </w:tcPr>
          <w:p>
            <w:pPr>
              <w:pStyle w:val="TableContents"/>
              <w:bidi w:val="0"/>
              <w:spacing w:before="0" w:after="20"/>
              <w:jc w:val="right"/>
              <w:rPr/>
            </w:pPr>
            <w:r>
              <w:rPr>
                <w:color w:val="000000"/>
              </w:rPr>
              <w:t> </w:t>
            </w:r>
            <w:r>
              <w:rPr>
                <w:rFonts w:ascii="Times New Roman" w:hAnsi="Times New Roman"/>
                <w:color w:val="000000"/>
                <w:sz w:val="20"/>
              </w:rPr>
              <w:t>F-9</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647825" cy="304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47825" cy="304800"/>
                    </a:xfrm>
                    <a:prstGeom prst="rect">
                      <a:avLst/>
                    </a:prstGeom>
                  </pic:spPr>
                </pic:pic>
              </a:graphicData>
            </a:graphic>
          </wp:inline>
        </w:drawing>
      </w:r>
    </w:p>
    <w:p>
      <w:pPr>
        <w:pStyle w:val="TextBody"/>
        <w:bidi w:val="0"/>
        <w:spacing w:before="360" w:after="283"/>
        <w:jc w:val="left"/>
        <w:rPr>
          <w:rFonts w:ascii="Times New Roman" w:hAnsi="Times New Roman"/>
          <w:sz w:val="20"/>
        </w:rPr>
      </w:pPr>
      <w:bookmarkStart w:id="37" w:name="report_of_independent_registered"/>
      <w:bookmarkEnd w:id="37"/>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Shareholders and Board of Directors of Ascendis Pharma A/S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Opinions on the Financial Statements and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accompanying consolidated statements of financial position of Ascendis Pharma A/S and subsidiaries (the “Company”) as of December 31, 2025 and 2024, the related consolidated statements of profit or (loss) and other comprehensive income or (loss), the consolidated statements of changes in equity, and the consolidated statements of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IFRS Accounting Standards as issued by the International Accounting Standards Board and as adopted by the European Union.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 xml:space="preserve">Internal Control — Integrated Framework (2013) </w:t>
      </w:r>
      <w:r>
        <w:rPr>
          <w:rFonts w:ascii="Times New Roman" w:hAnsi="Times New Roman"/>
          <w:color w:val="000000"/>
          <w:sz w:val="20"/>
        </w:rPr>
        <w:t>issued by COSO.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and provisions – US commercial sales deductions – Refer to Notes 3 and 4 to the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(US), the Company has entered into pricing agreements that include commercial sales deductions such as prompt pay discounts, shelf stock adjustments and applicable sales rebates attributable to various commercial arrangements, managed healthcare organizations, government programs, and co-pay arrangements. As such, revenue recognition includes variable consideration in the form of commercial sales deductions related to these agreements. Provisions are recognized for the unsettled parts and are a source of significant estimation uncertainty which could have a material impact on reported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identified US commercial sales deductions as a critical audit matter due to the significant measurement uncertainty involved in developing the estimates used for these provisions for unsettled sales deductions, as the provisions are based on payer channel mix, current contract prices under eligible programs and current inventory levels in the distribution channels. In addition, significant judgments are involved in determining whether a significant reversal in the amount of revenue recognized will occur due to commercial arrangements generally being settled within 180 days of the transaction date. This led to significant auditor judgment, effort and subjectivity in applying procedures relating to the Company’s estimate of these provisions.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procedures related to US commercial sales deductions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US commercial sales deductions, including controls over the assumptions and data used to estimate these deductions;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whether the accounting treatment of US commercial sales deductions is consistent with the relevant accounting standards and the appropriateness of the Company’s methodology to develop the estimates used for their commercial sales deductions provisions based on payer channel mix, current contract prices under eligible programs and current inventory levels in the distribution channels;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selected a sample of US commercial sales deductions claims processed by the Company, and evaluated those claims for consistency with the conditions and terms of the Company’s commercial and governmental pricing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overall reasonableness of the US commercial sales deductions provisions recorded at period-end by developing an independent expectation and comparing our expectation to the amount recorded by management,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Company’s ability to estimate US commercial sales deductions accurately by considering the historical accuracy of the Company’s estimates in the prior year compared to the actual claims information received in the current year.</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/s/ Deloitte Statsautoriseret Revisionspartnerselskab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Copenhagen, Denmark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February 11,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2007.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tatements_of_profit_or_loss"/>
      <w:bookmarkEnd w:id="38"/>
      <w:r>
        <w:rPr>
          <w:rFonts w:ascii="Times New Roman" w:hAnsi="Times New Roman"/>
          <w:b/>
          <w:color w:val="000000"/>
          <w:sz w:val="20"/>
        </w:rPr>
        <w:t>Consolidated Statements of Profit or (Loss) and Other Comprehensive Income or (Loss) for the</w:t>
      </w:r>
    </w:p>
    <w:p>
      <w:pPr>
        <w:pStyle w:val="TextBody"/>
        <w:bidi w:val="0"/>
        <w:spacing w:before="0" w:after="120"/>
        <w:jc w:val="center"/>
        <w:rPr>
          <w:rFonts w:ascii="Times New Roman" w:hAnsi="Times New Roman"/>
          <w:sz w:val="20"/>
        </w:rPr>
      </w:pPr>
      <w:r>
        <w:rPr>
          <w:rFonts w:ascii="Times New Roman" w:hAnsi="Times New Roman"/>
          <w:b/>
          <w:color w:val="000000"/>
          <w:sz w:val="20"/>
        </w:rPr>
        <w:t>Years Ended December 31</w:t>
      </w:r>
      <w:r>
        <w:rPr>
          <w:rFonts w:ascii="Times New Roman" w:hAnsi="Times New Roman"/>
          <w:color w:val="000000"/>
          <w:sz w:val="20"/>
        </w:rPr>
        <w:t xml:space="preserve"> </w:t>
      </w:r>
    </w:p>
    <w:tbl>
      <w:tblPr>
        <w:tblW w:w="10146" w:type="dxa"/>
        <w:jc w:val="left"/>
        <w:tblInd w:w="0" w:type="dxa"/>
        <w:tblLayout w:type="fixed"/>
        <w:tblCellMar>
          <w:top w:w="28" w:type="dxa"/>
          <w:left w:w="28" w:type="dxa"/>
          <w:bottom w:w="28" w:type="dxa"/>
          <w:right w:w="28" w:type="dxa"/>
        </w:tblCellMar>
      </w:tblPr>
      <w:tblGrid>
        <w:gridCol w:w="5161"/>
        <w:gridCol w:w="146"/>
        <w:gridCol w:w="161"/>
        <w:gridCol w:w="350"/>
        <w:gridCol w:w="146"/>
        <w:gridCol w:w="146"/>
        <w:gridCol w:w="226"/>
        <w:gridCol w:w="841"/>
        <w:gridCol w:w="166"/>
        <w:gridCol w:w="146"/>
        <w:gridCol w:w="226"/>
        <w:gridCol w:w="841"/>
        <w:gridCol w:w="166"/>
        <w:gridCol w:w="146"/>
        <w:gridCol w:w="226"/>
        <w:gridCol w:w="841"/>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(481,447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Comprehensive Income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subsequently to profit</w:t>
              <w:br/>
              <w: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year, net</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year, net</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(484,178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39" w:name="statements_of_financial_position"/>
      <w:bookmarkEnd w:id="39"/>
      <w:r>
        <w:rPr>
          <w:rFonts w:ascii="Times New Roman" w:hAnsi="Times New Roman"/>
          <w:b/>
          <w:color w:val="000000"/>
          <w:sz w:val="20"/>
        </w:rPr>
        <w:t>Consolidated Statements of Financial Position as of</w:t>
      </w:r>
      <w:r>
        <w:rPr>
          <w:rFonts w:ascii="Times New Roman" w:hAnsi="Times New Roman"/>
          <w:color w:val="000000"/>
          <w:sz w:val="20"/>
        </w:rPr>
        <w:t xml:space="preserve"> </w:t>
      </w:r>
    </w:p>
    <w:tbl>
      <w:tblPr>
        <w:tblW w:w="8057" w:type="dxa"/>
        <w:jc w:val="left"/>
        <w:tblInd w:w="0" w:type="dxa"/>
        <w:tblLayout w:type="fixed"/>
        <w:tblCellMar>
          <w:top w:w="28" w:type="dxa"/>
          <w:left w:w="28" w:type="dxa"/>
          <w:bottom w:w="28" w:type="dxa"/>
          <w:right w:w="28" w:type="dxa"/>
        </w:tblCellMar>
      </w:tblPr>
      <w:tblGrid>
        <w:gridCol w:w="3481"/>
        <w:gridCol w:w="146"/>
        <w:gridCol w:w="194"/>
        <w:gridCol w:w="421"/>
        <w:gridCol w:w="146"/>
        <w:gridCol w:w="146"/>
        <w:gridCol w:w="203"/>
        <w:gridCol w:w="1297"/>
        <w:gridCol w:w="166"/>
        <w:gridCol w:w="146"/>
        <w:gridCol w:w="203"/>
        <w:gridCol w:w="1297"/>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193,585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118,634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1,108,985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1,302,570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1,069,391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907,863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1,302,570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40" w:name="statements_of_changes_in_equity"/>
      <w:bookmarkEnd w:id="40"/>
      <w:r>
        <w:rPr>
          <w:rFonts w:ascii="Times New Roman" w:hAnsi="Times New Roman"/>
          <w:b/>
          <w:color w:val="000000"/>
          <w:sz w:val="20"/>
        </w:rPr>
        <w:t>Consolidated Statements of Changes in Equity</w:t>
      </w:r>
      <w:r>
        <w:rPr>
          <w:rFonts w:ascii="Times New Roman" w:hAnsi="Times New Roman"/>
          <w:color w:val="000000"/>
          <w:sz w:val="20"/>
        </w:rPr>
        <w:t xml:space="preserve"> </w:t>
      </w:r>
    </w:p>
    <w:tbl>
      <w:tblPr>
        <w:tblW w:w="10045" w:type="dxa"/>
        <w:jc w:val="left"/>
        <w:tblInd w:w="0" w:type="dxa"/>
        <w:tblLayout w:type="fixed"/>
        <w:tblCellMar>
          <w:top w:w="28" w:type="dxa"/>
          <w:left w:w="28" w:type="dxa"/>
          <w:bottom w:w="28" w:type="dxa"/>
          <w:right w:w="28" w:type="dxa"/>
        </w:tblCellMar>
      </w:tblPr>
      <w:tblGrid>
        <w:gridCol w:w="2911"/>
        <w:gridCol w:w="146"/>
        <w:gridCol w:w="511"/>
        <w:gridCol w:w="146"/>
        <w:gridCol w:w="146"/>
        <w:gridCol w:w="451"/>
        <w:gridCol w:w="146"/>
        <w:gridCol w:w="146"/>
        <w:gridCol w:w="146"/>
        <w:gridCol w:w="721"/>
        <w:gridCol w:w="151"/>
        <w:gridCol w:w="146"/>
        <w:gridCol w:w="184"/>
        <w:gridCol w:w="477"/>
        <w:gridCol w:w="151"/>
        <w:gridCol w:w="146"/>
        <w:gridCol w:w="187"/>
        <w:gridCol w:w="639"/>
        <w:gridCol w:w="151"/>
        <w:gridCol w:w="146"/>
        <w:gridCol w:w="146"/>
        <w:gridCol w:w="766"/>
        <w:gridCol w:w="151"/>
        <w:gridCol w:w="146"/>
        <w:gridCol w:w="146"/>
        <w:gridCol w:w="646"/>
        <w:gridCol w:w="19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Distributable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w:t>
              <w:br/>
              <w:t>Premium</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Foreign</w:t>
              <w:br/>
              <w:t>Currency</w:t>
              <w:br/>
              <w:t>Translation</w:t>
              <w:br/>
              <w:t>Reserve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2,112,863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(1,860,493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263,348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profit/(loss)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(481,447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income/(loss),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(481,447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(484,178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66,660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Transfer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settlement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2,123,074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(2,277,095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(145,697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(378,084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income/(loss),</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comprehensive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(378,084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(377,022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Transactions with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95,512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Transfer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340,392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340,792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Cost of capital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(19,291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2,444,175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(2,559,700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(105,706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profit/(loss)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(228,034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income/(loss),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(228,034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(231,572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116,171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Acquisition of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(17,396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Transfer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settlement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87,078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2,531,080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(2,700,388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(162,821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41" w:name="cash_flow_statements"/>
      <w:bookmarkEnd w:id="41"/>
      <w:r>
        <w:rPr>
          <w:rFonts w:ascii="Times New Roman" w:hAnsi="Times New Roman"/>
          <w:b/>
          <w:color w:val="000000"/>
          <w:sz w:val="20"/>
        </w:rPr>
        <w:t>Consolidated Statement of Cash Flows for the Years Ended December 31</w:t>
      </w:r>
      <w:r>
        <w:rPr>
          <w:rFonts w:ascii="Times New Roman" w:hAnsi="Times New Roman"/>
          <w:color w:val="000000"/>
          <w:sz w:val="20"/>
        </w:rPr>
        <w:t xml:space="preserve"> </w:t>
      </w:r>
    </w:p>
    <w:tbl>
      <w:tblPr>
        <w:tblW w:w="9600" w:type="dxa"/>
        <w:jc w:val="left"/>
        <w:tblInd w:w="0" w:type="dxa"/>
        <w:tblLayout w:type="fixed"/>
        <w:tblCellMar>
          <w:top w:w="28" w:type="dxa"/>
          <w:left w:w="28" w:type="dxa"/>
          <w:bottom w:w="28" w:type="dxa"/>
          <w:right w:w="28" w:type="dxa"/>
        </w:tblCellMar>
      </w:tblPr>
      <w:tblGrid>
        <w:gridCol w:w="5071"/>
        <w:gridCol w:w="146"/>
        <w:gridCol w:w="511"/>
        <w:gridCol w:w="146"/>
        <w:gridCol w:w="146"/>
        <w:gridCol w:w="751"/>
        <w:gridCol w:w="166"/>
        <w:gridCol w:w="146"/>
        <w:gridCol w:w="146"/>
        <w:gridCol w:w="751"/>
        <w:gridCol w:w="166"/>
        <w:gridCol w:w="146"/>
        <w:gridCol w:w="146"/>
        <w:gridCol w:w="751"/>
        <w:gridCol w:w="4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profit/(loss)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(228,034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(378,084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(481,447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(gain)/loss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for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consideration relating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generated from/(used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(464,271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received/(paid)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(467,361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intangible assets and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288,865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286,474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follow-on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follow-on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 of treasury shares, net of transactions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withholding taxes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443,929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134,292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(46,595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balances held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616,041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559,543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392,164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the Consolidated Financial Statements</w:t>
      </w:r>
    </w:p>
    <w:p>
      <w:pPr>
        <w:pStyle w:val="TextBody"/>
        <w:bidi w:val="0"/>
        <w:spacing w:before="360" w:after="283"/>
        <w:jc w:val="left"/>
        <w:rPr>
          <w:rFonts w:ascii="Times New Roman" w:hAnsi="Times New Roman"/>
          <w:sz w:val="20"/>
        </w:rPr>
      </w:pPr>
      <w:bookmarkStart w:id="42" w:name="notes"/>
      <w:bookmarkEnd w:id="42"/>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the Company’s registered office is Tuborg Boulevard 12, DK-2900 Hellerup, Denmark. The Company’s registration number in Denmark is 29918791.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(or “Board”) approved these consolidated financial statements on February 11, 2026.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are prepared in accordance with the IFRS Accounting Standards (“IFRS”), as issued by the International Accounting Standards Board (“IASB”), and as adopted by the European Union (the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when preparing the consolidated financial statements are described in detail below and are applied for all group entities. Significant accounting judgements and sources of estimation uncertainties used when exercising the accounting policies are described in Note 3, “Significant Accounting Judgements and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consolidated financial statements have been prepared under the historical cost convention, apart from certain financial instruments that are measured at fair value at initial recognition.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IASB amended IAS 21, “The Effects of Changes in Foreign Exchange Rates: Lack of Exchangeability,” to help entities determine whether a currency is exchangeable into another currency and which spot exchange rate to use when it is not. These new requirements apply for annual reporting periods beginning on or after January 1, 2025. The Company has assessed this amendment and concluded that this did not have an impact on its operations or financial statements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other new and amended standards and interpretations applied for the first time in 2025.</w:t>
      </w:r>
    </w:p>
    <w:p>
      <w:pPr>
        <w:pStyle w:val="TextBody"/>
        <w:bidi w:val="0"/>
        <w:spacing w:before="360" w:after="283"/>
        <w:jc w:val="left"/>
        <w:rPr>
          <w:rFonts w:ascii="Times New Roman" w:hAnsi="Times New Roman"/>
          <w:sz w:val="20"/>
        </w:rPr>
      </w:pPr>
      <w:r>
        <w:rPr>
          <w:rFonts w:ascii="Times New Roman" w:hAnsi="Times New Roman"/>
          <w:b/>
          <w:color w:val="000000"/>
          <w:sz w:val="20"/>
        </w:rPr>
        <w:t>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consolidated financial statements have been prepared on a going concern basis. Management has assessed the Company’s ability to continue as a going concern and has concluded that there are no material uncertainties that may cast significant doubt on the Company’s ability to continue in operational existence for at least twelve months after the reporting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21, “Investments in Group Enterprises and Associates”. </w:t>
      </w:r>
    </w:p>
    <w:p>
      <w:pPr>
        <w:pStyle w:val="TextBody"/>
        <w:bidi w:val="0"/>
        <w:spacing w:before="360" w:after="283"/>
        <w:jc w:val="left"/>
        <w:rPr>
          <w:rFonts w:ascii="Times New Roman" w:hAnsi="Times New Roman"/>
          <w:sz w:val="20"/>
        </w:rPr>
      </w:pPr>
      <w:r>
        <w:rPr>
          <w:rFonts w:ascii="Times New Roman" w:hAnsi="Times New Roman"/>
          <w:b/>
          <w:i/>
          <w:color w:val="000000"/>
          <w:sz w:val="20"/>
        </w:rPr>
        <w:t>Consolidation Principles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Subsidiaries, which are enterprises the Company controls, are fully consolidated from the date upon which control is transferred to the Company. They are deconsolidated from the date control ceases.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Control over an enterprise is reassessed if facts and circumstances indicate that there are changes to one or more of the three elements of control, respectively: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contractual arrangement(s) with the other vote holders of the enterprise;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voting rights and potential voting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rights arising from other contractual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intra-group assets and liabilities, equity, income, expenses and cash flows relating to transactions between group enterprises are eliminated in full on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Subsidiaries apply accounting policies in line with the Company’s accounting policies. When necessary, adjustments are made to bring the entities’ accounting policies in line with those of the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Investments in Associates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associate is an entity over which the Company has significant influence over financial and operational decisions but without having control or joint control. The Company’s associates are accounted for using the equity method and initially recognized at cost. Thereafter, the carrying amount of the investment is adjusted to recognize changes in the Company’s share of net assets and other comprehensive income of the associates since the acquisition or establishment date. The Company discontinues recognition of further losses when its interest in an associate is reduced to nil, except where the Company has legal or constructive obligations to cover such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 of profit/(loss) of associates in the consolidated statements of profit or loss include the Company’s share of result after tax of the associates after any adjustments made to bring the associates accounting policies in line with those of the Company. Transactions between the associates and the Company are eliminated proportionally according to the Company’s interest in the associates. Unrealized gains and losses resulting from transactions between the Company and its associates are eliminated to the extent of the Company’s interest in the associates.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Company’s interest in an associate is reduced but significant influence is retained, the transaction is accounted for as a partial disposal. A gain or loss is recognized in profit or loss for the portion of the investment derecognized including the proportionate share of amounts previously recognized in other comprehensive income that relate to the disposed interest. Any increase in the associate’s net assets arising from the issuance of new shares is reflected in share of profit/(loss) of associates. The retained interest continues to be accounted for using the equity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the Company determines whether there are indications that the investment is impaired. If there is such evidence, the amount of impairment is calculated as the difference between the recoverable amount of the associate and its carrying amount. Any impairment loss is recognized in the consolidated statements of profit or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Functional and Presentation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(or “EUR”), which is also the functional currency of the parent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Translation of Transactions and Balances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 Monetary items carried at fair value that are denominated in foreign currencies are translated at the rates prevailing at the date when the fair value was determined.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Currency Translation of Group Enterprises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subsidiaries or associates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 </w:t>
      </w:r>
    </w:p>
    <w:p>
      <w:pPr>
        <w:pStyle w:val="TextBody"/>
        <w:bidi w:val="0"/>
        <w:spacing w:before="360" w:after="283"/>
        <w:jc w:val="left"/>
        <w:rPr>
          <w:rFonts w:ascii="Times New Roman" w:hAnsi="Times New Roman"/>
          <w:sz w:val="20"/>
        </w:rPr>
      </w:pPr>
      <w:r>
        <w:rPr>
          <w:rFonts w:ascii="Times New Roman" w:hAnsi="Times New Roman"/>
          <w:b/>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Commercial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the customer has obtained control of the goods and it is probable that the Company will collect the consideration to which it is entitled for transferring the goods. Control is transferred upon delivery.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measured at the contractual sales price, reflecting the consideration received or receivable from customers, net of value added taxes, and provisions for a variety of sales deductions such as prompt pay discounts, shelf stock adjustments and applicable sales deductions attributable to various commercial arrangements, managed healthcare organizations, government programs, and co-pay arrangements. In addition, goods are principally sold on a “sale-or-return” basis, where customers may return products in line with the Company’s return policy. Sales deductions and product returns are considered variable consideration and are estimated at the time of sale using the expected value method. The amount of variable consideration that is included in the transaction price may be constrained and is included in the net contractual price only to the extent that it is highly probable that a significant reversal will not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Unsettled sales deductions and product returns are recognized as provisions when timing or amount is uncertain. Payable amounts that are absolute are recognized as other liabilities. Sales discounts and deductions that are payable to customers are offset in trade receivables.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Sales-based royalty and sales-based milestone income promised in exchange for a license of intellectual property, which is interdependent with sale of goods under such license agreements, is recognized as revenue from commercial products upon occurrence of the later of subsequent sale or satisfaction of the performance obligation.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relates to collaboration and license agreements (or “Strategic Collaborations”), where the counterparts are considered customers of the Company. When contracts with these customers are entered into, the goods and/or services promised in the contract are assessed to identify distinct performance obligations. A promise in the agreement is considered a distinct performance obligation if both of the following criteria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customer can benefit from the good or service either on its own or together with other resources that are readily available to the customer (i.e., the good or service is capable of being distinct);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entity’s promise to transfer the good or service to the customer is separately identifiable from other promises in the contract (i.e., the promise to transfer the good or service is distinct within the context of the contract).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collaboration and license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in the contract is measured at fair value and reflects the consideration the Company expects to be entitled to in exchange for those goods or services. Under license agreements, the transaction price may include up-front payments, royalty and milestone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Sales-based royalty and sales-based milestone income promised in exchange for a license of intellectual property is recognized as revenue at the later of the occurrence of subsequent sale or satisfaction of the performance obligation to which some or all of the royalty or milestone has been allocated. Milestone income related to regulatory activities is included in the transaction price at the point in time that it is highly probable that the applicable milestone criteria is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allocated to each performance obligation according to their stand-alone selling prices and is recognized when control of the goods or services is transferred to the customer, either over time or at a point in time, depending on the specific terms and conditions in the contracts. License agreements, which transfer rights to the Company’s intellectual property (“IP”), are classified as “right-to-access”, with revenue recognized over time, or as “right-to-use” with revenue recognized at a point in time, depending on the specific terms and conditions in the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 of clinical trial supply is recognized as revenue when the customer has obtained control of the goods and it is probable that the Company will collect the consideration to which it is entitled for transferring the goods. Control is transferred upon delivery. Rendering of services is recognized as revenue over the service period as stipulated under the applicable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the Company’s intellectual property portfolio, and depreciation of non-current assets related to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costs are incurred at the early stages of the drug development cycle from the initial drug discovery and include a variety of preclinical research activities in order to assess potential drug candidates in non-human subjects, prior to filing an Investigational New Drug Application (“IND”), or equivalent. Research costs are recognized in the consolidated statement of profit or loss when incurred.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activities relate to activities following an IND, or equivalent, and typically involve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administered in a small group of humans), and further into Phase II and III, which include administration of drugs in larger patient groups. Following, and depending on clinical trial results, a Biologic License Application (“BLA”) or New Drug Application (“NDA”) may be submitted to the authorities, to apply for marketing approval, which, with a positive outcome will permit the Company to market and sell the products. Long-term extension trials may be ongoing following submission of a BLA or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costs also include product development and pre-commercial manufacturing costs related to development product candidates, and write-downs of inventories manufactured for late-stage development product candidates prior to marketing approval being obtained (pre-launch inventories) and any reversal of such write-downs.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 </w:t>
      </w:r>
    </w:p>
    <w:p>
      <w:pPr>
        <w:pStyle w:val="TextBody"/>
        <w:bidi w:val="0"/>
        <w:spacing w:before="360" w:after="283"/>
        <w:jc w:val="left"/>
        <w:rPr>
          <w:rFonts w:ascii="Times New Roman" w:hAnsi="Times New Roman"/>
          <w:sz w:val="20"/>
        </w:rPr>
      </w:pPr>
      <w:r>
        <w:rPr>
          <w:rFonts w:ascii="Times New Roman" w:hAnsi="Times New Roman"/>
          <w:b/>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comprise salaries and other personnel costs including pension and share-based payment, office supplies, cost of facilities, professional fees, and depreciation of non-current assets related to selling, general and administrative activities, including pre-commercial and commercial activities. Selling, general, and administrative expenses are recognized in the consolidated statement of profit or loss when incurred. </w:t>
      </w:r>
    </w:p>
    <w:p>
      <w:pPr>
        <w:pStyle w:val="TextBody"/>
        <w:bidi w:val="0"/>
        <w:spacing w:before="360" w:after="283"/>
        <w:jc w:val="left"/>
        <w:rPr>
          <w:rFonts w:ascii="Times New Roman" w:hAnsi="Times New Roman"/>
          <w:sz w:val="20"/>
        </w:rPr>
      </w:pPr>
      <w:r>
        <w:rPr>
          <w:rFonts w:ascii="Times New Roman" w:hAnsi="Times New Roman"/>
          <w:b/>
          <w:color w:val="000000"/>
          <w:sz w:val="20"/>
        </w:rPr>
        <w:t>Share-based Incentive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incentive programs comprise warrant programs, Restricted Stock Unit programs (“RSU-programs”) and Performance Stock Unit Programs (“PSU-programs”) which are classified as equity-settled share-based payment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equity-settled transactions is determined by the fair value at the date of grant. For warrant programs, the fair value of each warrant granted is determined using the Black-Scholes option-pricing model. For RSU-programs and PSU-programs, the fair value of each RSU or PSU granted is equal to the closing share price on the date of grant of the underlying ADS. Any social security contributions payable in connection with the grant or exercise of the warrants are recognized as expenses when incurred. The assumptions used for estimating the fair value of share-based payment transactions are disclosed in Note 8, “Share-based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an equity-settled grant is cancelled other than upon forfeiture when vesting conditions are not satisfied, the grant is treated as if it vested on the date of the cancellation, and any expense not yet recognized for the grant is recognized immediately.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the terms and conditions for an equity-settled grant are modified, the services measured at the grant date fair value over the vesting period are recognized, subject to performance and/or service conditions that were specified at the initial grant date(s). Additionally, at the date of modification, unvested grants are re-measured and any increase in the total fair value is recognized over the vesting period. If a new grant is substituted for the cancelled grant and designated as a replacement grant on the date that it is granted, the cancelled and new grants are treated as if they were a modification of the original grant.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Finance Income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income and expenses comprise interest income and expenses, realized and unrealized exchange rate gains and losses on transactions denominated in foreign currencies, fair value remeasurement gains and losses on derivative liabilities, and remeasurement gains and losses on royalty funding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 </w:t>
      </w:r>
    </w:p>
    <w:p>
      <w:pPr>
        <w:pStyle w:val="TextBody"/>
        <w:bidi w:val="0"/>
        <w:spacing w:before="36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offset, and the deferred tax assets and deferred tax liabilities relate to income taxes levied by the same tax jurisdiction. Deferred tax is calculated based on the planned use of each asset and the settlement of each liability,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acquired in a business combination is initially measured at cost, being the excess of the aggregate of the consideration transferred and the amount recognized for non-controlling interests over the net identifiable assets acquired and liabilities assumed.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represents the lowest level within the Company at which the goodwill is monitored for internal management purposes. </w:t>
      </w:r>
    </w:p>
    <w:p>
      <w:pPr>
        <w:pStyle w:val="TextBody"/>
        <w:bidi w:val="0"/>
        <w:spacing w:before="240" w:after="283"/>
        <w:jc w:val="left"/>
        <w:rPr>
          <w:rFonts w:ascii="Times New Roman" w:hAnsi="Times New Roman"/>
          <w:sz w:val="20"/>
        </w:rPr>
      </w:pPr>
      <w:r>
        <w:rPr>
          <w:rFonts w:ascii="Times New Roman" w:hAnsi="Times New Roman"/>
          <w:b/>
          <w:i/>
          <w:color w:val="000000"/>
          <w:sz w:val="20"/>
        </w:rPr>
        <w:t>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assets comprise administrative applications and serve general purposes to support the Company’s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 (2) technological feasibility, adequate resources to complete, and an internal use of the software asset can be demonstrated; (3) the expenditure attributable to the software asset can be measured reliably; and (4) the Company has the intention to use the software asset internally. The Company does not capitalize software with no alternative use, or where economic benefit depends on marketing approvals of drug candidates and where marketing approvals have not been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initial recognition of the development expenditure as an asset, the asset is carried at cost less any accumulated amortization and accumulated impairment losses. Amortization of the asset begins when the development is complete, and the asset is available for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Software assets are amortized over the period of expected future benefits. Amortization is recognized in research and development expenses, and selling, general and administrative expenses, as appropriate. Expenditures that do not meet the criteria above are recognized as an expense as incurred. </w:t>
      </w:r>
    </w:p>
    <w:p>
      <w:pPr>
        <w:pStyle w:val="TextBody"/>
        <w:bidi w:val="0"/>
        <w:spacing w:before="360" w:after="283"/>
        <w:jc w:val="left"/>
        <w:rPr>
          <w:rFonts w:ascii="Times New Roman" w:hAnsi="Times New Roman"/>
          <w:sz w:val="20"/>
        </w:rPr>
      </w:pPr>
      <w:r>
        <w:rPr>
          <w:rFonts w:ascii="Times New Roman" w:hAnsi="Times New Roman"/>
          <w:b/>
          <w:color w:val="000000"/>
          <w:sz w:val="20"/>
        </w:rPr>
        <w:t>Property, Plant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primarily comprises leasehold improvements, office facilities, and process equipment and tools which are located at CMOs. Property, plant and equipment also includes right-of-use assets. Refer to the separate section “Leases.”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plant and equipment is measured at cost less accumulated depreciation and impairment losses. Cost comprises the acquisition price, costs directly attributable to the acquisition and preparation costs of the asset until the time when it is ready to be used in operation. Subsequent costs are included in the carrying amount of the asset or recognized as a separate asset, as appropriate, only when it is probable that future economic benefits associated with the assets will flow to the Company and costs of the items can be measured reliably. All repair and maintenance costs are charged to the consolidated statement of profit or loss during the financial periods in which they are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Plant and equipment acquired for research and development activities with alternative use, which is expected to be used for more than one year, is capitalized and depreciated over the estimated useful life as research and development expenses. Plant and equipment acquired for research and development activities, which has no alternative use, is recognized as research and development expenses when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acquisition or use of the asset involves an obligation to incur costs of decommissioning or restoration of the asset, the estimated related costs are recognized as a provision and as part of the relevant asset’s cost,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Depreciation is calculated on a straight-line basis, based on an asset’s expected useful life, being within the following ranges: </w:t>
      </w:r>
    </w:p>
    <w:tbl>
      <w:tblPr>
        <w:tblW w:w="3658" w:type="dxa"/>
        <w:jc w:val="left"/>
        <w:tblInd w:w="0" w:type="dxa"/>
        <w:tblLayout w:type="fixed"/>
        <w:tblCellMar>
          <w:top w:w="28" w:type="dxa"/>
          <w:left w:w="28" w:type="dxa"/>
          <w:bottom w:w="28" w:type="dxa"/>
          <w:right w:w="28" w:type="dxa"/>
        </w:tblCellMar>
      </w:tblPr>
      <w:tblGrid>
        <w:gridCol w:w="2431"/>
        <w:gridCol w:w="146"/>
        <w:gridCol w:w="108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 plant and machinery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5 - 10 years</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3 - 15 years</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2 - 15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methods, useful lives and residual amounts are reassessed at least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plant and equipment is written down to the lower of recoverable amount and carrying amount, as described in the “Impairment of Non-current Assets” section below. Depreciation and impairment losses of property, plant and equipment is recognized in the consolidated statement of profit or loss as cost of sales, research and development expenses or as selling, general, and administrative expenses, as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Gains and losses on disposal of property, plant and equipment are recognized in the consolidated statement of profit or loss at its net proceeds, as either research and development expenses or as selling, general, and administrative expenses, as appropriate.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Non-current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recoverable amount of goodwill is estimated annually irrespective of any recorded indications of impairment. Property, plant and equipment and finite-lived intangible assets are reviewed for impairment whenever events or circumstances indicate that the carrying amount may not be recoverable.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impairment loss is recognized for the amount by which the asset’s carrying amount exceeds its recoverable amount. The recoverable amount is the higher of an asset’s fair value less costs of disposal and value in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non-current assets, other than goodwill, are reviewed for possible reversal at each reporting date. </w:t>
      </w:r>
    </w:p>
    <w:p>
      <w:pPr>
        <w:pStyle w:val="TextBody"/>
        <w:bidi w:val="0"/>
        <w:spacing w:before="360" w:after="283"/>
        <w:jc w:val="left"/>
        <w:rPr>
          <w:rFonts w:ascii="Times New Roman" w:hAnsi="Times New Roman"/>
          <w:sz w:val="20"/>
        </w:rPr>
      </w:pPr>
      <w:r>
        <w:rPr>
          <w:rFonts w:ascii="Times New Roman" w:hAnsi="Times New Roman"/>
          <w:b/>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comprise raw materials, work in progress and finished goods. The cost of work in progress and finished goods comprise service expenses incurred at CMOs, raw materials consumed, incremental storage and transportation, other direct materials, and a proportion of manufacturing overheads based on normal operation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Cost is measured using the first-in, first-out method. Work in progress and finished goods are measured under a standard cost method that takes into account normal levels of consumption, yields, labor, efficiency and capacity utilization. Production processes are complex, where actual yields and consumptions are sensitive to a wide variety of manufacturing conditions. Standard cost variances are reviewed regularly and adjusted to ensure inventories approximate actual cost of production.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net realizable value is lower than cost, a write-down is recognized as the excess amount by which cost exceeds net realizable value, as part of cost of sales, or selling, general, and administrative expenses, as appropriate. The amount of reversal of write-down of inventories arising from an increase in net realizable value is recognized as a reduction in the same profit or loss line item as the original write-down was recognized, in the period in which the reversal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of pre-launch inventories is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expenses. If marketing approval is obtained, prior write-downs of pre-launch inventories are reversed through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inventories is recognized as part of cost of sales in the period in which the related revenue is recognized. </w:t>
      </w:r>
    </w:p>
    <w:p>
      <w:pPr>
        <w:pStyle w:val="TextBody"/>
        <w:bidi w:val="0"/>
        <w:spacing w:before="360" w:after="283"/>
        <w:jc w:val="left"/>
        <w:rPr>
          <w:rFonts w:ascii="Times New Roman" w:hAnsi="Times New Roman"/>
          <w:sz w:val="20"/>
        </w:rPr>
      </w:pPr>
      <w:r>
        <w:rPr>
          <w:rFonts w:ascii="Times New Roman" w:hAnsi="Times New Roman"/>
          <w:b/>
          <w:color w:val="000000"/>
          <w:sz w:val="20"/>
        </w:rPr>
        <w:t>Receivables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Receivables comprise trade receivables, lease receivables, income tax receivables and other receivables.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the Company acts as an intermediate lessor and a sublease is classified as a finance lease, the Company recognize a net investment in the lease (lease receivable) and derecognize the portion of the asset that is subject to the sublease. The lease receivable is initially measured at the present value of lease payments receivable plus any unguaranteed residual value. Any difference on derecognition of the right</w:t>
        <w:noBreakHyphen/>
        <w:t>of</w:t>
        <w:noBreakHyphen/>
        <w:t>use asset is recognized in the consolidated statement of profit or loss. Subsequently, finance income is recognized using the effective interest method. Further the lease receivable is reduced by lease payments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Income tax receivables, and other receivables related to deposits, VAT and other indirect taxes are measured at cost less impairment. Carrying amounts of receivables usually equals their nominal value less provision for impairments. </w:t>
      </w:r>
    </w:p>
    <w:p>
      <w:pPr>
        <w:pStyle w:val="TextBody"/>
        <w:bidi w:val="0"/>
        <w:spacing w:before="360" w:after="283"/>
        <w:jc w:val="left"/>
        <w:rPr>
          <w:rFonts w:ascii="Times New Roman" w:hAnsi="Times New Roman"/>
          <w:sz w:val="20"/>
        </w:rPr>
      </w:pPr>
      <w:r>
        <w:rPr>
          <w:rFonts w:ascii="Times New Roman" w:hAnsi="Times New Roman"/>
          <w:b/>
          <w:color w:val="000000"/>
          <w:sz w:val="20"/>
        </w:rPr>
        <w:t>Prepayments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Prepayments comprise advance payments relating to a future financial year. Prepayments are measured at cost. </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securities may comprise government bonds, treasury bills, commercial papers, and other securities traded on established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initial recognition (trade-date), contractual terms of individual securities are analyzed to determine whether these give rise on specified dates to cash flows that are solely payments of principal and interest on the principal outstanding (“SPPI-test”). All marketable securities held at the reporting date have passed the SPPI-test.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an impairment test to accommodate expected credit loss. Gains and losses are recognized as finance income or expenses in the consolidated statement of profit or loss when the specific security or portfolio of securities is derecognized, modified or impaired.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comprise cash and on-demand deposits with financial institutions, and highly liquid marketable securities with a maturity of three months or less after the date of acquisition (trade-date). Cash and cash equivalents are measured at amortized cost. </w:t>
      </w:r>
    </w:p>
    <w:p>
      <w:pPr>
        <w:pStyle w:val="TextBody"/>
        <w:bidi w:val="0"/>
        <w:spacing w:before="360" w:after="283"/>
        <w:jc w:val="left"/>
        <w:rPr>
          <w:rFonts w:ascii="Times New Roman" w:hAnsi="Times New Roman"/>
          <w:sz w:val="20"/>
        </w:rPr>
      </w:pPr>
      <w:r>
        <w:rPr>
          <w:rFonts w:ascii="Times New Roman" w:hAnsi="Times New Roman"/>
          <w:b/>
          <w:color w:val="000000"/>
          <w:sz w:val="20"/>
        </w:rPr>
        <w:t>Allowance for Expected Credit Losses on Financial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assets comprise receivables (excluding receivables relating to VAT, other indirect tax and income tax), marketable securities, and cash and cash equivalents. Impairment of financial assets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receivables, a simplified approach in calculating ECLs is applied. Therefore, changes in credit risks are not tracked, but instead, a loss allowance based on lifetime ECL is assessed at each reporting date. Lifetime ECLs are assessed on historical credit loss experience, adjusted for forward-looking factors specific to the counterparts and the economic environment.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cash, cash equivalents and marketable securities, ECLs are assessed for credit losses that result from default events that are possible within the next twelve months (12-month ECL). Credit risk is continuously tracked and monitored in order to identify significant deterioration. For those credit exposures for which there have been a significant increase in credit risk since initial recognition, an allowance is recognized for credit losses expected over the remaining life of the exposure, irrespective of the timing of the default. </w:t>
      </w:r>
    </w:p>
    <w:p>
      <w:pPr>
        <w:pStyle w:val="TextBody"/>
        <w:bidi w:val="0"/>
        <w:spacing w:before="360" w:after="283"/>
        <w:jc w:val="left"/>
        <w:rPr>
          <w:rFonts w:ascii="Times New Roman" w:hAnsi="Times New Roman"/>
          <w:sz w:val="20"/>
        </w:rPr>
      </w:pPr>
      <w:r>
        <w:rPr>
          <w:rFonts w:ascii="Times New Roman" w:hAnsi="Times New Roman"/>
          <w:b/>
          <w:color w:val="000000"/>
          <w:sz w:val="20"/>
        </w:rPr>
        <w:t>Shareholders’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 capital comprises the nominal amount of the parent company’s ordinary shares, each at a nominal value of DKK 1, or approximately €0.13. All shares are fully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Treasury shares reserve comprise nominal amounts of holding of own equity instruments. No gain or loss is recognized in profit or loss on the purchase, sale, transfer or cancellation of the Company’s own equity instruments. The treasury shares reserve is part of unrestricted reserves and accordingly, reduce the amount available to be distributed as dividends to the Company’s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translation reserve includes exchange rate adjustments relating to the translation of the results and net assets of foreign operations from their functional currencies to the presentation currency.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accumulated reserve of a foreign operation is reclassified to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Retained earnings/(accumulated deficit) represents the accumulated profits or losses from the Company’s operations, including corresponding entries to share-based payments recognized in the consolidated statement of profit or loss. In addition, premiums from acquisition and sale of treasury shares are recognized as part of this reserve. A positive reserve is available to be distributed as dividends to the Company’s shareholders.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Convertible Senior Notes and Embedded 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Convertible senior notes (“convertible notes”) are separated into a financial liability and an embedded derivative component based on the terms and conditions of the contract. The embedded derivative component is accounted for separately if it is not deemed closely related to the financial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include an embedded equity conversion option which is not deemed closely related to the financial liability, and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not separately accounted for. The initial carrying amount of the financial liability component including the redemption option is the residual amount of the proceeds, net of transaction costs, after separating the derivative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liability is subsequently measured at amortized cost until it is extinguished on conversion, upon optional redemption or repayment at maturity. Convertible notes are presented as borrowings, together with the derivative liabilities on the statement of financial position, separately under current liabilities as “Convertible notes, matures in April 2028.”</w:t>
      </w:r>
    </w:p>
    <w:p>
      <w:pPr>
        <w:pStyle w:val="TextBody"/>
        <w:bidi w:val="0"/>
        <w:spacing w:before="360" w:after="283"/>
        <w:jc w:val="left"/>
        <w:rPr>
          <w:rFonts w:ascii="Times New Roman" w:hAnsi="Times New Roman"/>
          <w:sz w:val="20"/>
        </w:rPr>
      </w:pPr>
      <w:r>
        <w:rPr>
          <w:rFonts w:ascii="Times New Roman" w:hAnsi="Times New Roman"/>
          <w:b/>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Royalty funding liabilities relate to the Company’s contractual obligations to pay a predetermined percentage of future revenue from sale of commercial products until reaching a predetermined multiple of proceeds received, pursuant to the detailed provisions of the capped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relevant, royalty funding liabilities are separated into a financial liability and embedded derivative components based on the terms and conditions of the applicable royalty funding agreement. Embedded derivative components are accounted for separately, unless these are deemed closely related to the financial liability. The royalty funding agreements include a buy-out option where the value is dependent on non-financial variables that are specific to the Company. Accordingly, the buy-out option is not accounted for separately as a derivative.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financial liability is recognized when the Company becomes party to the contractual provisions of the royalty funding agreement and measured at amortized cost until it is extinguished upon exercising a buy-out option or upon achieving the predetermined multiple of proceeds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interest rate is estimated at initial recognition and takes into account incremental transaction costs and anticipated amount and timing of future cash flows, which further depends on future commercial revenue forecasts and the probability of exercising the buy-out option. The amortized cost is remeasured prospectively when there is a material change in expectations to amount and timing of future cash flows, which will increase or decrease future interest expenses. Remeasurement gain or losses are recognized through the profit or loss as finance income or expenses,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funding liabilities that are classified as a financial liability are presented as part of borrowings in the statement of financial position.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Right-of-use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Right-of-use assets are recognized at the lease commencement date, defined as the date the underlying asset is available for use. Right-of-use assets are measured at cost, less any accumulated depreciation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if required by the terms and condition of the lease,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Right-of-use assets are presented as part of property, plant and equipment, and depreciated on a straight-line basis over the shorter of the lease term and the estimated useful lives of the assets. </w:t>
      </w:r>
    </w:p>
    <w:p>
      <w:pPr>
        <w:pStyle w:val="TextBody"/>
        <w:bidi w:val="0"/>
        <w:spacing w:before="240" w:after="283"/>
        <w:jc w:val="left"/>
        <w:rPr>
          <w:rFonts w:ascii="Times New Roman" w:hAnsi="Times New Roman"/>
          <w:sz w:val="20"/>
        </w:rPr>
      </w:pPr>
      <w:r>
        <w:rPr>
          <w:rFonts w:ascii="Times New Roman" w:hAnsi="Times New Roman"/>
          <w:b/>
          <w:i/>
          <w:color w:val="000000"/>
          <w:sz w:val="20"/>
        </w:rPr>
        <w:t>Lease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liabilities are presented as part of borrowings in the statement of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Leases and Leases of Low-value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short-term leases (12 months or less) and leases of low-value assets are recognized on a straight-line basis through profit or loss.</w:t>
      </w:r>
    </w:p>
    <w:p>
      <w:pPr>
        <w:pStyle w:val="TextBody"/>
        <w:bidi w:val="0"/>
        <w:spacing w:before="360" w:after="283"/>
        <w:jc w:val="left"/>
        <w:rPr>
          <w:rFonts w:ascii="Times New Roman" w:hAnsi="Times New Roman"/>
          <w:sz w:val="20"/>
        </w:rPr>
      </w:pPr>
      <w:r>
        <w:rPr>
          <w:rFonts w:ascii="Times New Roman" w:hAnsi="Times New Roman"/>
          <w:b/>
          <w:color w:val="000000"/>
          <w:sz w:val="20"/>
        </w:rPr>
        <w:t>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comprise unsettled sales deductions and product returns regarding revenue from sale of commercial products where amount or timing of payment is uncertain.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for sales deductions attributed to various commercial arrangements, managed healthcare organizations, government programs, and co-pay arrangements are recognized when the related sales takes place and measured using the expected value method. Payable amounts for managed healthcare organizations and government programs are generally settled within 180 days from the transaction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for estimated product returns are measured according to the contractual sales price based on expected product returns. </w:t>
      </w:r>
    </w:p>
    <w:p>
      <w:pPr>
        <w:pStyle w:val="TextBody"/>
        <w:bidi w:val="0"/>
        <w:spacing w:before="360" w:after="283"/>
        <w:jc w:val="left"/>
        <w:rPr>
          <w:rFonts w:ascii="Times New Roman" w:hAnsi="Times New Roman"/>
          <w:sz w:val="20"/>
        </w:rPr>
      </w:pPr>
      <w:r>
        <w:rPr>
          <w:rFonts w:ascii="Times New Roman" w:hAnsi="Times New Roman"/>
          <w:b/>
          <w:color w:val="000000"/>
          <w:sz w:val="20"/>
        </w:rPr>
        <w:t>Trade Payables and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payables and accrued expenses are measured at amortized cost.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comprise payables to public authorities, short-term employee benefits, and sales deductions. Other liabilities are measured at their net-realizable values.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liabilities comprise deferred income from collaboration and license agreements, where consideration received does not match the individual deliverables with respect to amount and satisfied performance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measured at the fair value of the consideration received and is recognized as revenue in the consolidated statement of profit or loss when the relevant performance obligation, to which the deferred income relates, is satisfied.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Statement of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statement of cash flows shows cash flows from operating, investing and financing activities as well as cash and cash equivalents at the beginning and the end of the financial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from operating activities are presented using the indirect method and calculated as the profit or loss adjusted for non-cash items, working capital changes as well as finance income, finance expenses and income taxes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from investing activities include payments in connection with acquisition, development, improvement and sale, etc., of property, plant and equipment, investments in associates and marketable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financing activities comprise payments related to the capital structure of the Company, including changes in the share capital and treasury shares, and issuance and repayments under the Company’s borrowing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exchange rate changes on cash and cash equivalents held or due in a foreign currency is presented separately from cash flows from operating, investing and financing activities. Cash flows in currencies other than the functional currency are recognized in the statement of cash flows, using the average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and cash equivalents comprise cash and on-demand bank deposits with financial institutions and highly liquid marketable securities with a maturity of three months or less after the date of acquisition. </w:t>
      </w:r>
    </w:p>
    <w:p>
      <w:pPr>
        <w:pStyle w:val="TextBody"/>
        <w:bidi w:val="0"/>
        <w:spacing w:before="360" w:after="283"/>
        <w:jc w:val="left"/>
        <w:rPr>
          <w:rFonts w:ascii="Times New Roman" w:hAnsi="Times New Roman"/>
          <w:sz w:val="20"/>
        </w:rPr>
      </w:pPr>
      <w:r>
        <w:rPr>
          <w:rFonts w:ascii="Times New Roman" w:hAnsi="Times New Roman"/>
          <w:b/>
          <w:color w:val="000000"/>
          <w:sz w:val="20"/>
        </w:rPr>
        <w:t>Basic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(“EPS”) is calculated as the consolidated net income or loss from continuing operations for the period divided by the weighted average number of ordinary shares outstanding adjusted for the weighted average number of treasury shares during the year.</w:t>
      </w:r>
    </w:p>
    <w:p>
      <w:pPr>
        <w:pStyle w:val="TextBody"/>
        <w:bidi w:val="0"/>
        <w:spacing w:before="360" w:after="283"/>
        <w:jc w:val="left"/>
        <w:rPr>
          <w:rFonts w:ascii="Times New Roman" w:hAnsi="Times New Roman"/>
          <w:sz w:val="20"/>
        </w:rPr>
      </w:pPr>
      <w:r>
        <w:rPr>
          <w:rFonts w:ascii="Times New Roman" w:hAnsi="Times New Roman"/>
          <w:b/>
          <w:color w:val="000000"/>
          <w:sz w:val="20"/>
        </w:rPr>
        <w:t>Diluted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EPS is calculated as the consolidated net income or loss from continuing operations for the period divided by the weighted average number of ordinary shares outstanding adjusted for the weighted average number of treasury shares during the year, and the dilutive effect of outstanding warrants, RSUs, PSUs, and convertible notes, if any. </w:t>
      </w:r>
    </w:p>
    <w:p>
      <w:pPr>
        <w:pStyle w:val="TextBody"/>
        <w:bidi w:val="0"/>
        <w:spacing w:before="360" w:after="283"/>
        <w:jc w:val="left"/>
        <w:rPr>
          <w:rFonts w:ascii="Times New Roman" w:hAnsi="Times New Roman"/>
          <w:sz w:val="20"/>
        </w:rPr>
      </w:pPr>
      <w:r>
        <w:rPr>
          <w:rFonts w:ascii="Times New Roman" w:hAnsi="Times New Roman"/>
          <w:b/>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in Financial Statements.” IFRS 18 introduces new categories and subtotals in the statement of profit or loss,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are not expected to be affected by other new or amended standards. </w:t>
      </w:r>
    </w:p>
    <w:p>
      <w:pPr>
        <w:pStyle w:val="TextBody"/>
        <w:bidi w:val="0"/>
        <w:spacing w:before="360" w:after="283"/>
        <w:jc w:val="left"/>
        <w:rPr>
          <w:rFonts w:ascii="Times New Roman" w:hAnsi="Times New Roman"/>
          <w:sz w:val="20"/>
        </w:rPr>
      </w:pPr>
      <w:r>
        <w:rPr>
          <w:rFonts w:ascii="Times New Roman" w:hAnsi="Times New Roman"/>
          <w:b/>
          <w:color w:val="000000"/>
          <w:sz w:val="20"/>
        </w:rPr>
        <w:t>Note 3 – 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Estimates and underlying assumptions are reviewed on an ongoing basis. Revisions to accounting estimates are recognized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application of critical accounting estimates is subject to material estimation uncertainties, management’s ongoing revisions of critical accounting estimates and underlying assumptions have not revealed any material impact to any of the years presented in these consolidated financial statements compared to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accounting judgements which have a significant impact on the consolidated financial statements, and key assumptions concerning the future and other key sources of estimation uncertainty at the reporting date, that have a risk of causing a material adjustment to the carrying amounts of assets and liabilities within the next financial year, are described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and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Provisions for Sales Deductions and Product Returns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deductions and product returns are considered variable consideration and constrained to the extent that a significant reversal in the amount of recognized revenue will not occur when the uncertainties associated with the rebate or chargeback item are subsequently resolved, or for product returns, when the products are distributed to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for unsettled sales deductions and product returns are estimated on the basis of a percentage of sales as defined by individual agreements and contracts, and for government rebates by individual state- and plan agreements.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Provisions are adjusted to absolute amounts and recognized as other liabilities when estimated sales deductions are processed.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provisions for sales deductions and product returns were €166.4 million compared to €99.1 million, as of December 31, 2024. The development in total provisions is disclosed in Note 16, “Provisions.” Due to the nature of these provisions, it is not practicable to give meaningful sensitivity estimates due to the large volume of variables that contribute to the overall rebates, chargebacks, product returns and other sales deductions. Provisions are reviewed and adjusted regularly considering contractual terms, regulatory obligations, payer trends, historical experiences and market projections.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Warrant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IFRS 2, “Share-Based Payment” requires an entity to reflect in its consolidated statement of profit or loss and financial position, the effects of share-based payment transactions. Warrant compensation costs are recognized as cost of sales, research and development expenses or selling, general and administrative expenses, as appropriate, over the vesting period, based on management’s best estimate of the number of warrants that will ultimately vest, which is subject to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Warrant compensation costs are measured according to the grant date fair value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Warrant compensation cost recognized in the consolidated statement of profit or loss was €23.0 million, €19.7 million and €28.8 million for the years ended December 31, 2025, 2024 and 2023, respectively. Changes to inputs applied to the Black-Scholes option-pricing model could affect the warrant compensation cost. Refer to Note 8, “Share-based Payment,” for additional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Valuation of Embedded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conversion options embedded in the convertible notes are accounted for separately as derivative liabilities at fair value through profit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 and accordingly, derivative liabilities are measured by use of valuation techniques in the form of the Black-Scholes option-pricing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valuation of the derivative liabilities was €256.2 million compared to €150.7 million as of December 31, 2024. Changes in assumptions relating to these factors could affect the reported fair value of derivative liabilities. Refer to Note 17, “Financial Assets and Liabilities,” for additional details.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Measurement of 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 of royalty funding liabilities is measured according to anticipated future cash flows, which further depends on the amount and timing of future revenue from sale of commercial products. Assumptions that impact the amount and timing of future sale of commercial products are subject to estimation uncertainties, and are subject to a number of factors which are not within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carrying amount of the royalty funding liabilities was €290.9 million compared to €305.4 million as of December 31, 2024. The Company will periodically revisit the anticipated amount and timing of future sale of commercial products and to the extent such amount or timing is materially different from the previous estimates, a remeasurement gain or loss is recognized through the profit or loss as finance income or expenses, as appropriate, which would further increase or decrease future interest expenses. Refer to Note 17, “Financial Assets and Liabilities” for additional details.</w:t>
      </w:r>
    </w:p>
    <w:p>
      <w:pPr>
        <w:pStyle w:val="TextBody"/>
        <w:bidi w:val="0"/>
        <w:spacing w:before="360" w:after="283"/>
        <w:jc w:val="left"/>
        <w:rPr>
          <w:rFonts w:ascii="Times New Roman" w:hAnsi="Times New Roman"/>
          <w:sz w:val="20"/>
        </w:rPr>
      </w:pPr>
      <w:r>
        <w:rPr>
          <w:rFonts w:ascii="Times New Roman" w:hAnsi="Times New Roman"/>
          <w:b/>
          <w:color w:val="000000"/>
          <w:sz w:val="20"/>
        </w:rPr>
        <w:t>Note 4—Revenue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consolidated statements of profit or loss with the following amounts: </w:t>
      </w:r>
    </w:p>
    <w:tbl>
      <w:tblPr>
        <w:tblW w:w="6523" w:type="dxa"/>
        <w:jc w:val="left"/>
        <w:tblInd w:w="0" w:type="dxa"/>
        <w:tblLayout w:type="fixed"/>
        <w:tblCellMar>
          <w:top w:w="28" w:type="dxa"/>
          <w:left w:w="28" w:type="dxa"/>
          <w:bottom w:w="28" w:type="dxa"/>
          <w:right w:w="28" w:type="dxa"/>
        </w:tblCellMar>
      </w:tblPr>
      <w:tblGrid>
        <w:gridCol w:w="2821"/>
        <w:gridCol w:w="146"/>
        <w:gridCol w:w="146"/>
        <w:gridCol w:w="781"/>
        <w:gridCol w:w="146"/>
        <w:gridCol w:w="146"/>
        <w:gridCol w:w="146"/>
        <w:gridCol w:w="781"/>
        <w:gridCol w:w="146"/>
        <w:gridCol w:w="146"/>
        <w:gridCol w:w="146"/>
        <w:gridCol w:w="78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266,718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 of world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266,718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From 2025, revenue related to the United States has been disclosed separately. Comparatives for the United States and Rest of World have been restated for comparative purposes.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0"/>
        </w:rPr>
      </w:pPr>
      <w:r>
        <w:rPr>
          <w:rFonts w:ascii="Times New Roman" w:hAnsi="Times New Roman"/>
          <w:color w:val="000000"/>
          <w:sz w:val="18"/>
        </w:rPr>
        <w:t>For the years ended December 31, 2025 and December 31, 2024, Denmark, the country of domicile, contributed with €12.9</w:t>
      </w:r>
      <w:r>
        <w:rPr>
          <w:rFonts w:ascii="Times New Roman" w:hAnsi="Times New Roman"/>
          <w:color w:val="000000"/>
          <w:sz w:val="20"/>
        </w:rPr>
        <w:t xml:space="preserve"> </w:t>
      </w:r>
      <w:r>
        <w:rPr>
          <w:rFonts w:ascii="Times New Roman" w:hAnsi="Times New Roman"/>
          <w:color w:val="000000"/>
          <w:sz w:val="18"/>
        </w:rPr>
        <w:t>million and €95.4</w:t>
      </w:r>
      <w:r>
        <w:rPr>
          <w:rFonts w:ascii="Times New Roman" w:hAnsi="Times New Roman"/>
          <w:color w:val="000000"/>
          <w:sz w:val="20"/>
        </w:rPr>
        <w:t xml:space="preserve"> </w:t>
      </w:r>
      <w:r>
        <w:rPr>
          <w:rFonts w:ascii="Times New Roman" w:hAnsi="Times New Roman"/>
          <w:color w:val="000000"/>
          <w:sz w:val="18"/>
        </w:rPr>
        <w:t>million of revenue, respectively. For the year ended December 31, 2023, no</w:t>
      </w:r>
      <w:r>
        <w:rPr>
          <w:rFonts w:ascii="Times New Roman" w:hAnsi="Times New Roman"/>
          <w:color w:val="000000"/>
          <w:sz w:val="20"/>
        </w:rPr>
        <w:t xml:space="preserve"> </w:t>
      </w:r>
      <w:r>
        <w:rPr>
          <w:rFonts w:ascii="Times New Roman" w:hAnsi="Times New Roman"/>
          <w:color w:val="000000"/>
          <w:sz w:val="18"/>
        </w:rPr>
        <w:t>revenue was attributable to Denmark.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6442" w:type="dxa"/>
        <w:jc w:val="left"/>
        <w:tblInd w:w="0" w:type="dxa"/>
        <w:tblLayout w:type="fixed"/>
        <w:tblCellMar>
          <w:top w:w="28" w:type="dxa"/>
          <w:left w:w="28" w:type="dxa"/>
          <w:bottom w:w="28" w:type="dxa"/>
          <w:right w:w="28" w:type="dxa"/>
        </w:tblCellMar>
      </w:tblPr>
      <w:tblGrid>
        <w:gridCol w:w="3616"/>
        <w:gridCol w:w="146"/>
        <w:gridCol w:w="781"/>
        <w:gridCol w:w="146"/>
        <w:gridCol w:w="781"/>
        <w:gridCol w:w="146"/>
        <w:gridCol w:w="82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178,663</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178,663</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In the U.S., the Company has established an integrated organization to commercialize the Company’s approved Endocrinology Rare Disease products, YORVIPATH</w:t>
      </w:r>
      <w:r>
        <w:rPr>
          <w:rFonts w:ascii="Times New Roman" w:hAnsi="Times New Roman"/>
          <w:color w:val="000000"/>
          <w:sz w:val="13"/>
        </w:rPr>
        <w:t xml:space="preserve">® </w:t>
      </w:r>
      <w:r>
        <w:rPr>
          <w:rFonts w:ascii="Times New Roman" w:hAnsi="Times New Roman"/>
          <w:color w:val="000000"/>
          <w:sz w:val="20"/>
        </w:rPr>
        <w:t>and SKYTROFA</w:t>
      </w:r>
      <w:r>
        <w:rPr>
          <w:rFonts w:ascii="Times New Roman" w:hAnsi="Times New Roman"/>
          <w:color w:val="000000"/>
          <w:sz w:val="13"/>
        </w:rPr>
        <w:t>®</w:t>
      </w:r>
      <w:r>
        <w:rPr>
          <w:rFonts w:ascii="Times New Roman" w:hAnsi="Times New Roman"/>
          <w:color w:val="000000"/>
          <w:sz w:val="20"/>
        </w:rPr>
        <w:t>. In Europe, the Company has established its presence by building integrated organizations in select countries (“Europe Direct”), where the Company has launched YORVIPATH and SKYTROFA. Beyond the U.S. and Europe Direct, YORVIPATH and SKYTROFA may also be sold through exclusive sales and distribution agreements with geographic market leaders (“International Markets”) and under Strategic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YORVIPATH and SKYTROFA is approved by the U.S. Food and Drug Administration (“FDA”) and authorized by the European Commission (“EC”) and other regulatory agencies. The Company began selling YORVIPATH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Europe in the first quarter of 2024 and in the U.S. in December 2024. The Company began selling SKYTROFA in the U.S. in the fourth quarter of 2021 and in Europe in the third quarter of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two and for the years ended December 31, 2024 and 2023, four commercial customers represented more than 10% of revenue from commercial products.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is attributable to the Company’s Strategic Collaborations, and relates to Novo Nordisk A/S (“Novo Nordisk”), Eyconis, Inc. (“Eyconis”), Teijin Limited (“Teijin”) and VISEN Pharmaceuticals (“VISEN”).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Novo Nordisk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Company entered into a research and development collaboration and license agreement (the “Novo Nordisk Agreement”) with Novo Nordisk pursuant to which the Company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(the “IP”).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Novo Nordisk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Novo Nordisk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Novo Nordisk Agreement, the Company has the potential to receive total payments of up to $285 million in upfront, development and regulatory milestone payments for the lead program. In addition, the Company has the potential to receive sales-based milestone payments and tiered royalties on global net sales. The $285 million includes an upfront fee of $100 million for the exclusive license. For each additional metabolic or cardiovascular disease product candidate, the Company will be eligible to receive payments of up to $77.5 million in development and regulatory milestone payments. In addition, the Company has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Novo Nordisk Agreement, the Company agreed to conduct certain pre-agreed early research and development of TransCon product candidates under the collaboration and is eligible to receive cost reimbursement from Novo Nordisk for its performance of such research and development activities under the Novo Nordisk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Novo Nordisk Agreement, the Company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the Company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Novo Nordisk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IP comprises the patent protected TransCon technology platform, where future activities do not affect its existing stand-alone functionalities. Accordingly, the IP is classified as “right-to-use” licenses, with revenue recognized at a point in time, where the licensee is granted access to the IP. For the year ended December 31, 2024, “Licenses” includes revenue of €95.3 million related to the upfront payment, which is allocated to transfer of the Company’s intellectual property.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Eyconis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Eyconis exclusive rights to develop and commercialize TransCon ophthalmology products globally (the “Eyconis Agreement”) and received, as consideration, an equity position in the newly formed company. In addition, the Company is eligible to receive development, regulatory, and sales milestone payments, plus single digit royalties on global net sales of commercialized products,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expected to provide various research and development services, which are subject to separate remuneration, and which will be recognized as revenue over time as rendering of services or reimbursement revenue,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“Licenses” includes revenue of €27.1 million related to the non-cash upfront payment through an equity position in Eyconis, adjusted for internal profit, which is allocated to transfer of the Company’s intellectual property (the “IP”). The internal profit relates to the Company’s share of the non-cash upfront payment which is recognized as part of “Investments in associates” and recognized as revenue from “Licenses” as the IP is amortized in the associate.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Teijin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 entered into an exclusive license agreement (the “Teijin Agreement”) with Teijin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Company will provide clinical and commercial supply, and development services for joint activities, which are subject to separate remuneration, and which will be recognized as revenue over time as rendering of services or reimbursement revenue,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Licensed Products (the “IP”) are patent protected, where future activities do not affect their existing stand-alone functionalities. Accordingly, all three licenses are classified as “right-to-use” licenses, with revenue recognized at a point in time, where the licensee is granted access to the IP. For the year ended December 31, 2023, “Licenses” includes revenue of €63.7 million related to the upfront payment, which is allocated to transfer of the Company’s IP. In Japan, YORVIPATH has been commercially available for prescription since November 6, 2025, through Teijin.</w:t>
      </w:r>
    </w:p>
    <w:p>
      <w:pPr>
        <w:pStyle w:val="TextBody"/>
        <w:bidi w:val="0"/>
        <w:spacing w:before="240" w:after="283"/>
        <w:jc w:val="left"/>
        <w:rPr>
          <w:rFonts w:ascii="Times New Roman" w:hAnsi="Times New Roman"/>
          <w:sz w:val="20"/>
        </w:rPr>
      </w:pPr>
      <w:r>
        <w:rPr>
          <w:rFonts w:ascii="Times New Roman" w:hAnsi="Times New Roman"/>
          <w:b/>
          <w:i/>
          <w:color w:val="000000"/>
          <w:sz w:val="20"/>
        </w:rPr>
        <w:t>VISEN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the Company entered into three exclusive license agreements with VISEN, and includes rendering of services, sale of clinical supply and commercial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5—Earnings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earnings and share data used in the basic and diluted earnings per share calculations:</w:t>
      </w:r>
    </w:p>
    <w:tbl>
      <w:tblPr>
        <w:tblW w:w="10205" w:type="dxa"/>
        <w:jc w:val="left"/>
        <w:tblInd w:w="0" w:type="dxa"/>
        <w:tblLayout w:type="fixed"/>
        <w:tblCellMar>
          <w:top w:w="28" w:type="dxa"/>
          <w:left w:w="28" w:type="dxa"/>
          <w:bottom w:w="28" w:type="dxa"/>
          <w:right w:w="28" w:type="dxa"/>
        </w:tblCellMar>
      </w:tblPr>
      <w:tblGrid>
        <w:gridCol w:w="6614"/>
        <w:gridCol w:w="146"/>
        <w:gridCol w:w="1036"/>
        <w:gridCol w:w="146"/>
        <w:gridCol w:w="1036"/>
        <w:gridCol w:w="146"/>
        <w:gridCol w:w="1081"/>
      </w:tblGrid>
      <w:tr>
        <w:trPr/>
        <w:tc>
          <w:tcPr>
            <w:tcW w:w="6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(481,447)</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for the purposes of basic and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60,607,131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57,891,570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56,287,060</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(8.55)</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Diluted earnings per share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b/>
                <w:color w:val="000000"/>
                <w:sz w:val="20"/>
              </w:rPr>
              <w:t>(8.55)</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For the years ended December 31, 2025, December 31, 2024 and December 31, 2023, outstanding warrants, restricted stock units and performance stock units can potentially dilute earnings per share in the future but have not been included in the calculation of diluted earnings per share because they are antidilutive for the years presented.</w:t>
      </w:r>
      <w:r>
        <w:rPr>
          <w:rFonts w:ascii="Times New Roman" w:hAnsi="Times New Roman"/>
          <w:color w:val="000000"/>
          <w:sz w:val="20"/>
        </w:rPr>
        <w:t xml:space="preserve"> </w:t>
      </w:r>
      <w:r>
        <w:rPr>
          <w:rFonts w:ascii="Times New Roman" w:hAnsi="Times New Roman"/>
          <w:color w:val="000000"/>
          <w:sz w:val="18"/>
        </w:rPr>
        <w:t>Similarly, 575,000</w:t>
      </w:r>
      <w:r>
        <w:rPr>
          <w:rFonts w:ascii="Times New Roman" w:hAnsi="Times New Roman"/>
          <w:color w:val="000000"/>
          <w:sz w:val="20"/>
        </w:rPr>
        <w:t xml:space="preserve"> </w:t>
      </w:r>
      <w:r>
        <w:rPr>
          <w:rFonts w:ascii="Times New Roman" w:hAnsi="Times New Roman"/>
          <w:color w:val="000000"/>
          <w:sz w:val="18"/>
        </w:rPr>
        <w:t>convertible senior notes which can potentially be converted into 3,456,785</w:t>
      </w:r>
      <w:r>
        <w:rPr>
          <w:rFonts w:ascii="Times New Roman" w:hAnsi="Times New Roman"/>
          <w:color w:val="000000"/>
          <w:sz w:val="20"/>
        </w:rPr>
        <w:t xml:space="preserve"> </w:t>
      </w:r>
      <w:r>
        <w:rPr>
          <w:rFonts w:ascii="Times New Roman" w:hAnsi="Times New Roman"/>
          <w:color w:val="000000"/>
          <w:sz w:val="18"/>
        </w:rPr>
        <w:t>ordinary shares, can potentially dilute earnings per share in the future but have not been included in the calculation of diluted earnings per share because they are antidilutive for the years presented. Refer to Note 8 “Share-based Payment” and Note 17, “Financial Assets and Liabilities,” for further information about the share-based incentive programs and convertible notes,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6—Segment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in Note 4, “Revenue.” Revenue is specified on geographical areas according to the location of the customer.</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non-current segment assets, which comprise intangible assets, and property, plant and equipment, and investments in associates, are located by region as follows:</w:t>
      </w:r>
    </w:p>
    <w:tbl>
      <w:tblPr>
        <w:tblW w:w="5379" w:type="dxa"/>
        <w:jc w:val="left"/>
        <w:tblInd w:w="0" w:type="dxa"/>
        <w:tblLayout w:type="fixed"/>
        <w:tblCellMar>
          <w:top w:w="28" w:type="dxa"/>
          <w:left w:w="28" w:type="dxa"/>
          <w:bottom w:w="28" w:type="dxa"/>
          <w:right w:w="28" w:type="dxa"/>
        </w:tblCellMar>
      </w:tblPr>
      <w:tblGrid>
        <w:gridCol w:w="2896"/>
        <w:gridCol w:w="146"/>
        <w:gridCol w:w="146"/>
        <w:gridCol w:w="781"/>
        <w:gridCol w:w="146"/>
        <w:gridCol w:w="146"/>
        <w:gridCol w:w="146"/>
        <w:gridCol w:w="781"/>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Non-current segment assets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From 2025, non-current segment assets include investments in associates. Comparatives have been restated for comparative purposes.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and December 31, 2024, intangible assets and property, plant and equipment of €33.6</w:t>
      </w:r>
      <w:r>
        <w:rPr>
          <w:rFonts w:ascii="Times New Roman" w:hAnsi="Times New Roman"/>
          <w:color w:val="000000"/>
          <w:sz w:val="20"/>
        </w:rPr>
        <w:t xml:space="preserve"> </w:t>
      </w:r>
      <w:r>
        <w:rPr>
          <w:rFonts w:ascii="Times New Roman" w:hAnsi="Times New Roman"/>
          <w:color w:val="000000"/>
          <w:sz w:val="18"/>
        </w:rPr>
        <w:t>million and €27.9</w:t>
      </w:r>
      <w:r>
        <w:rPr>
          <w:rFonts w:ascii="Times New Roman" w:hAnsi="Times New Roman"/>
          <w:color w:val="000000"/>
          <w:sz w:val="20"/>
        </w:rPr>
        <w:t xml:space="preserve"> </w:t>
      </w:r>
      <w:r>
        <w:rPr>
          <w:rFonts w:ascii="Times New Roman" w:hAnsi="Times New Roman"/>
          <w:color w:val="000000"/>
          <w:sz w:val="18"/>
        </w:rPr>
        <w:t>million, respectively, is located in Denmark, the country of domicile. In addition, as of December 31, 2025 and December 31, 2024, intangible assets and property, plant and equipment of €71.8</w:t>
      </w:r>
      <w:r>
        <w:rPr>
          <w:rFonts w:ascii="Times New Roman" w:hAnsi="Times New Roman"/>
          <w:color w:val="000000"/>
          <w:sz w:val="20"/>
        </w:rPr>
        <w:t xml:space="preserve"> </w:t>
      </w:r>
      <w:r>
        <w:rPr>
          <w:rFonts w:ascii="Times New Roman" w:hAnsi="Times New Roman"/>
          <w:color w:val="000000"/>
          <w:sz w:val="18"/>
        </w:rPr>
        <w:t>million and €11.6</w:t>
      </w:r>
      <w:r>
        <w:rPr>
          <w:rFonts w:ascii="Times New Roman" w:hAnsi="Times New Roman"/>
          <w:color w:val="000000"/>
          <w:sz w:val="20"/>
        </w:rPr>
        <w:t xml:space="preserve"> </w:t>
      </w:r>
      <w:r>
        <w:rPr>
          <w:rFonts w:ascii="Times New Roman" w:hAnsi="Times New Roman"/>
          <w:color w:val="000000"/>
          <w:sz w:val="18"/>
        </w:rPr>
        <w:t>million, respectively, is located in Germany.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Note 7—Employee costs</w:t>
      </w:r>
      <w:r>
        <w:rPr>
          <w:rFonts w:ascii="Times New Roman" w:hAnsi="Times New Roman"/>
          <w:color w:val="000000"/>
          <w:sz w:val="20"/>
        </w:rPr>
        <w:t xml:space="preserve"> </w:t>
      </w:r>
    </w:p>
    <w:tbl>
      <w:tblPr>
        <w:tblW w:w="7438" w:type="dxa"/>
        <w:jc w:val="left"/>
        <w:tblInd w:w="0" w:type="dxa"/>
        <w:tblLayout w:type="fixed"/>
        <w:tblCellMar>
          <w:top w:w="28" w:type="dxa"/>
          <w:left w:w="28" w:type="dxa"/>
          <w:bottom w:w="28" w:type="dxa"/>
          <w:right w:w="28" w:type="dxa"/>
        </w:tblCellMar>
      </w:tblPr>
      <w:tblGrid>
        <w:gridCol w:w="3736"/>
        <w:gridCol w:w="146"/>
        <w:gridCol w:w="146"/>
        <w:gridCol w:w="781"/>
        <w:gridCol w:w="146"/>
        <w:gridCol w:w="146"/>
        <w:gridCol w:w="146"/>
        <w:gridCol w:w="781"/>
        <w:gridCol w:w="146"/>
        <w:gridCol w:w="146"/>
        <w:gridCol w:w="146"/>
        <w:gridCol w:w="78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(defined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Included in the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258,456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number of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employee costs capitalized as part of inventories.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Management Personnel comprises the Board of Directors and the Executive Board and Non-executive Senior Management (“Senior Management”). Compensation to Key Management Personnel comprises salaries, participation in annual bonus schemes, pensions (defined contributions plans), and share-based compensation. Share-based compensation is elaborated in further details in Note 8, “Share-based Payment.”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Compensation to Key Management Personnel included in total employee costs is summarized below: </w:t>
      </w:r>
    </w:p>
    <w:tbl>
      <w:tblPr>
        <w:tblW w:w="11092" w:type="dxa"/>
        <w:jc w:val="left"/>
        <w:tblInd w:w="0" w:type="dxa"/>
        <w:tblLayout w:type="fixed"/>
        <w:tblCellMar>
          <w:top w:w="28" w:type="dxa"/>
          <w:left w:w="28" w:type="dxa"/>
          <w:bottom w:w="28" w:type="dxa"/>
          <w:right w:w="28" w:type="dxa"/>
        </w:tblCellMar>
      </w:tblPr>
      <w:tblGrid>
        <w:gridCol w:w="1336"/>
        <w:gridCol w:w="146"/>
        <w:gridCol w:w="146"/>
        <w:gridCol w:w="571"/>
        <w:gridCol w:w="146"/>
        <w:gridCol w:w="146"/>
        <w:gridCol w:w="146"/>
        <w:gridCol w:w="571"/>
        <w:gridCol w:w="146"/>
        <w:gridCol w:w="146"/>
        <w:gridCol w:w="146"/>
        <w:gridCol w:w="571"/>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Board of Directors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Executive Board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Non-executive Senior Management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(defined</w:t>
              <w:br/>
              <w:t>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employee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Board of Directors comprised six persons in 2025, 2024 and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Executive Board comprised four persons in 2025, 2024 and 2023.</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Share-based compensation costs are determined using the grant date fair value and are recognized over the vesting period as research and development expenses, selling, general and administrative expenses, or cost of sales. </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other employees and members of the Board (the “RSU-holders”), as stipulated in the program. In addition, RSUs may be granted to select consultants.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RSU represents a right for the RSU-holder to receive one ADS representing ordinary shares of Ascendis Pharma A/S upon vesting, if the vesting conditions are met.</w:t>
      </w:r>
    </w:p>
    <w:p>
      <w:pPr>
        <w:pStyle w:val="TextBody"/>
        <w:bidi w:val="0"/>
        <w:spacing w:before="360" w:after="283"/>
        <w:jc w:val="left"/>
        <w:rPr>
          <w:rFonts w:ascii="Times New Roman" w:hAnsi="Times New Roman"/>
          <w:sz w:val="20"/>
        </w:rPr>
      </w:pPr>
      <w:r>
        <w:rPr>
          <w:rFonts w:ascii="Times New Roman" w:hAnsi="Times New Roman"/>
          <w:b/>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as stipulated in the program. In addition, PSUs may be granted to other employees, select consultants and members of the Board. One PSU represents a right for the PSU-holder to receive one ADS representing ordinary shares of Ascendis Pharma A/S upon vesting. </w:t>
      </w:r>
    </w:p>
    <w:p>
      <w:pPr>
        <w:pStyle w:val="TextBody"/>
        <w:bidi w:val="0"/>
        <w:spacing w:before="240" w:after="283"/>
        <w:jc w:val="left"/>
        <w:rPr>
          <w:rFonts w:ascii="Times New Roman" w:hAnsi="Times New Roman"/>
          <w:sz w:val="20"/>
        </w:rPr>
      </w:pPr>
      <w:r>
        <w:rPr>
          <w:rFonts w:ascii="Times New Roman" w:hAnsi="Times New Roman"/>
          <w:b/>
          <w:i/>
          <w:color w:val="000000"/>
          <w:sz w:val="20"/>
        </w:rPr>
        <w:t>Vesting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granted vest over a predetermined service period, and accordingly require RSU-holders to be employed, or provide a specified period of service (“service conditions”). RSUs vest over three years with 1/3 of the RSUs vesting on each anniversary date from the date of grant. RSUs generally cease to vest from the date of termination of employment, or for the Board, termination of board membership, whereas unvested RSUs will lapse.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representing ordinary shares of Ascendis Pharma A/S upon vesting. PSUs vest in a manner similar to the service conditions of the RSUs. In addition to service conditions, vesting is also contingent upon achievement of performance-based targets as determined by the Board, provided that no more than 10% of each tranche may be directly attributable to accomplishment of financial results achieved in the financial year prior to the vesting date for PSUs granted in 2023, and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and PSUs generally cease to vest from the date of termination of employment or board membership, as applicable, whereas unvested RSUs or PSUs will be forfeited. The Board may at its discretion and on an individual basis decide to deviate from the vesting conditions, including deciding to accelerate vesting in the event of termination of employment or board membership, as applicable.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Settlement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RSUs and PSUs are settled at the time of vesting by transfer of treasury shares that are ADSs repurchased in the market. In jurisdictions where the Company is required to withhold and settle tax with the tax authority on behalf of the RSU/PSU-holders, the Company withholds the number of RSUs or PSUs that are equal to the estimated monetary value of the RSU/PSU-holders tax obligation from the total number of RSUs or PSUs that otherwise would have been transferred to the RSU/PSU holder upon vesting. These settlements are presented as “Net settlement under stock incentive programs” in the consolidated statement of equity. The Company may at its sole discretion choose to make a cash settlement instead of delivering ADSs.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RSU-holders and PSU-holders are entitled to an adjustment of the number of RSUs or PSUs granted, in the event of certain corporate changes, including among other events, increases or decreases to the share capital at a price below or above market value, the issuance of bonus shares, and changes in the nominal value of each share. In addition, the RSU and PSU Programs contain provisions to accelerate vesting, or compensate with grant of new equity instruments, in the event of restructuring events including change in control events.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RSUs and PSUs outstanding:</w:t>
      </w:r>
    </w:p>
    <w:tbl>
      <w:tblPr>
        <w:tblW w:w="7999" w:type="dxa"/>
        <w:jc w:val="left"/>
        <w:tblInd w:w="0" w:type="dxa"/>
        <w:tblLayout w:type="fixed"/>
        <w:tblCellMar>
          <w:top w:w="28" w:type="dxa"/>
          <w:left w:w="28" w:type="dxa"/>
          <w:bottom w:w="28" w:type="dxa"/>
          <w:right w:w="28" w:type="dxa"/>
        </w:tblCellMar>
      </w:tblPr>
      <w:tblGrid>
        <w:gridCol w:w="2311"/>
        <w:gridCol w:w="146"/>
        <w:gridCol w:w="231"/>
        <w:gridCol w:w="1479"/>
        <w:gridCol w:w="166"/>
        <w:gridCol w:w="146"/>
        <w:gridCol w:w="301"/>
        <w:gridCol w:w="1619"/>
        <w:gridCol w:w="166"/>
        <w:gridCol w:w="146"/>
        <w:gridCol w:w="146"/>
        <w:gridCol w:w="93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during the year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681,648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during the year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1,150,474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during the year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1,345,086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1,345,086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RSUs and PSUs is determined on the basis of the closing ADS price on the grant date. The fair value of one RSU and one PSU at the date of grant was €150.40, €141.01</w:t>
      </w:r>
      <w:r>
        <w:rPr>
          <w:rFonts w:ascii="Times New Roman" w:hAnsi="Times New Roman"/>
          <w:color w:val="000000"/>
          <w:sz w:val="20"/>
        </w:rPr>
        <w:t xml:space="preserve"> </w:t>
      </w:r>
      <w:r>
        <w:rPr>
          <w:rFonts w:ascii="Times New Roman" w:hAnsi="Times New Roman"/>
          <w:color w:val="000000"/>
          <w:sz w:val="18"/>
        </w:rPr>
        <w:t>and €105.96</w:t>
      </w:r>
      <w:r>
        <w:rPr>
          <w:rFonts w:ascii="Times New Roman" w:hAnsi="Times New Roman"/>
          <w:color w:val="000000"/>
          <w:sz w:val="20"/>
        </w:rPr>
        <w:t xml:space="preserve"> </w:t>
      </w:r>
      <w:r>
        <w:rPr>
          <w:rFonts w:ascii="Times New Roman" w:hAnsi="Times New Roman"/>
          <w:color w:val="000000"/>
          <w:sz w:val="18"/>
        </w:rPr>
        <w:t xml:space="preserve">for the years ended December 31, 2025, 2024 and 2023,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(“warrant-holders”). Each warrant carries the right to subscribe for one ordinary share of a nominal value of DKK 1. The exercise price is equal to the fair market value of the Company’s ordinary shares at the time of grant as determined by the Board. Apart from exercise prices, exercise periods and vesting conditions for board members, the programs are similar. </w:t>
      </w:r>
    </w:p>
    <w:p>
      <w:pPr>
        <w:pStyle w:val="TextBody"/>
        <w:bidi w:val="0"/>
        <w:spacing w:before="240" w:after="283"/>
        <w:jc w:val="left"/>
        <w:rPr>
          <w:rFonts w:ascii="Times New Roman" w:hAnsi="Times New Roman"/>
          <w:sz w:val="20"/>
        </w:rPr>
      </w:pPr>
      <w:r>
        <w:rPr>
          <w:rFonts w:ascii="Times New Roman" w:hAnsi="Times New Roman"/>
          <w:b/>
          <w:i/>
          <w:color w:val="000000"/>
          <w:sz w:val="20"/>
        </w:rPr>
        <w:t>Vesting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granted vest over a predetermined service period and require warrant-holders provide a specified period of service. Warrants generally cease to vest from the date of termination. In relation to board members, the vesting shall cease on the termination date of the board membership regardless of the reason. In relation to consultants, the vesting shall cease on the termination date of the consultancy relationship. The warrant-holder will, however, be entitled to exercise vested warrants in the exercise periods after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the employment contract is terminated, and the employee has not given the Company good reason to do so, the warrant-holder may keep the right to continued vesting and exercise of warrants as if the employment was still in effect. In such case, any expense not yet recognized for the outstanding warrants is recognized immediately.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warrants granted to employees and consultants, 25% of the warrants vest one year after the date of grant, and the remaining 75% of the warrants granted vest over 36 months, with 1/36 of the warrants vesting per month, from one year after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warrants granted to board members upon the board members accession, 25% of the warrants vest one year after the date of grant, and the remaining 75% of the warrants granted vest over 36 months, with 1/36 of the warrants vesting per month, from one year after the date of grant. Regarding subsequent grants of warrants to board members, 50% of the warrants vest one year after the date of grant, and the remaining 50% of the warrants vest over 12 months, with 1/12 per month from one year after the date of grant. </w:t>
      </w:r>
    </w:p>
    <w:p>
      <w:pPr>
        <w:pStyle w:val="TextBody"/>
        <w:bidi w:val="0"/>
        <w:spacing w:before="240" w:after="283"/>
        <w:jc w:val="left"/>
        <w:rPr>
          <w:rFonts w:ascii="Times New Roman" w:hAnsi="Times New Roman"/>
          <w:sz w:val="20"/>
        </w:rPr>
      </w:pPr>
      <w:r>
        <w:rPr>
          <w:rFonts w:ascii="Times New Roman" w:hAnsi="Times New Roman"/>
          <w:b/>
          <w:i/>
          <w:color w:val="000000"/>
          <w:sz w:val="20"/>
        </w:rPr>
        <w:t>Exercise Periods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Vested warrants may be exercised during certain exercise periods each year, within certain periods after publication of earnings data of a fiscal quarter, interim and annual reports, as per each program’s terms and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Warrants expire ten years after the grant date. Warrants not exercised by the warrant-holder during the last exercise period shall become null and void without further notice or compensation or payment of any kind to the warrant-holder. 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Warrant-holders are entitled to an adjustment of the number of warrants issued and/or the exercise price applicable in the event of certain corporate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Events giving rise to an adjustment include, among other things, increases or decreases to the share capital at a price below or above market value, the issuance of bonus shares, changes in the nominal value of each share, and payment of dividends in excess of 10% of the Company’s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specifies the number and weighted average exercise prices of, and movements, in warrants: </w:t>
      </w:r>
    </w:p>
    <w:tbl>
      <w:tblPr>
        <w:tblW w:w="5615" w:type="dxa"/>
        <w:jc w:val="left"/>
        <w:tblInd w:w="0" w:type="dxa"/>
        <w:tblLayout w:type="fixed"/>
        <w:tblCellMar>
          <w:top w:w="28" w:type="dxa"/>
          <w:left w:w="28" w:type="dxa"/>
          <w:bottom w:w="28" w:type="dxa"/>
          <w:right w:w="28" w:type="dxa"/>
        </w:tblCellMar>
      </w:tblPr>
      <w:tblGrid>
        <w:gridCol w:w="2446"/>
        <w:gridCol w:w="146"/>
        <w:gridCol w:w="196"/>
        <w:gridCol w:w="1334"/>
        <w:gridCol w:w="166"/>
        <w:gridCol w:w="146"/>
        <w:gridCol w:w="176"/>
        <w:gridCol w:w="814"/>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(number)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(EUR)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Exercised during the year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6,523,784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86.38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the reporting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5,273,056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 during the year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3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6,204,122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93.25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the reporting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Exercised during the year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5,222,591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the reporting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4,419,487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The weighted average share price (listed in $) at the date of exercise was €162.08, €135.86</w:t>
      </w:r>
      <w:r>
        <w:rPr>
          <w:rFonts w:ascii="Times New Roman" w:hAnsi="Times New Roman"/>
          <w:color w:val="000000"/>
          <w:sz w:val="20"/>
        </w:rPr>
        <w:t xml:space="preserve"> </w:t>
      </w:r>
      <w:r>
        <w:rPr>
          <w:rFonts w:ascii="Times New Roman" w:hAnsi="Times New Roman"/>
          <w:color w:val="000000"/>
          <w:sz w:val="18"/>
        </w:rPr>
        <w:t>and €98.10</w:t>
      </w:r>
      <w:r>
        <w:rPr>
          <w:rFonts w:ascii="Times New Roman" w:hAnsi="Times New Roman"/>
          <w:color w:val="000000"/>
          <w:sz w:val="20"/>
        </w:rPr>
        <w:t xml:space="preserve"> </w:t>
      </w:r>
      <w:r>
        <w:rPr>
          <w:rFonts w:ascii="Times New Roman" w:hAnsi="Times New Roman"/>
          <w:color w:val="000000"/>
          <w:sz w:val="18"/>
        </w:rPr>
        <w:t xml:space="preserve">for the years ended December 31, 2025,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Board was authorized to grant up to 1,725,233 additional warrants to employees, board members and select consultants without preemptive subscription rights for the shareholders of Ascendis Pharma A/S.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specifies the weighted average exercise prices and weighted average remaining contractual life for outstanding warrants at December 31, 2025 per grant year. </w:t>
      </w:r>
    </w:p>
    <w:tbl>
      <w:tblPr>
        <w:tblW w:w="7358" w:type="dxa"/>
        <w:jc w:val="left"/>
        <w:tblInd w:w="0" w:type="dxa"/>
        <w:tblLayout w:type="fixed"/>
        <w:tblCellMar>
          <w:top w:w="28" w:type="dxa"/>
          <w:left w:w="28" w:type="dxa"/>
          <w:bottom w:w="28" w:type="dxa"/>
          <w:right w:w="28" w:type="dxa"/>
        </w:tblCellMar>
      </w:tblPr>
      <w:tblGrid>
        <w:gridCol w:w="3031"/>
        <w:gridCol w:w="146"/>
        <w:gridCol w:w="207"/>
        <w:gridCol w:w="1323"/>
        <w:gridCol w:w="146"/>
        <w:gridCol w:w="146"/>
        <w:gridCol w:w="176"/>
        <w:gridCol w:w="814"/>
        <w:gridCol w:w="146"/>
        <w:gridCol w:w="146"/>
        <w:gridCol w:w="228"/>
        <w:gridCol w:w="658"/>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Outstanding</w:t>
              <w:br/>
              <w:t>Warrants (number</w:t>
            </w: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(EUR)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br/>
              <w:t>(months)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before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5,222,591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exercise prices of outstanding warrants under the Company’s warrant programs range from €11.98 to €180.65 depending on the grant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range of exercise prices for outstanding warrants was €11.98 to €145.50 for the years ended December 31, 2024 and 2023. The weighted average remaining life for outstanding warrants was 65 months and 71 months, for the years ended December 31, 2024 and 2023,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 compensation costs are determined with basis in the grant date fair value of the warrants granted and recognized over the vesting period. Fair value of the warrants is calculated at the grant dates by use of the Black-Scholes option-pricing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an expected volatility using the Company’s own share price.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the input to the Black-Scholes option-pricing model and the calculated fair values for warrant grants in 2025, 2024 and 2023: </w:t>
      </w:r>
    </w:p>
    <w:tbl>
      <w:tblPr>
        <w:tblW w:w="9245" w:type="dxa"/>
        <w:jc w:val="left"/>
        <w:tblInd w:w="0" w:type="dxa"/>
        <w:tblLayout w:type="fixed"/>
        <w:tblCellMar>
          <w:top w:w="28" w:type="dxa"/>
          <w:left w:w="28" w:type="dxa"/>
          <w:bottom w:w="28" w:type="dxa"/>
          <w:right w:w="28" w:type="dxa"/>
        </w:tblCellMar>
      </w:tblPr>
      <w:tblGrid>
        <w:gridCol w:w="3421"/>
        <w:gridCol w:w="146"/>
        <w:gridCol w:w="226"/>
        <w:gridCol w:w="1186"/>
        <w:gridCol w:w="271"/>
        <w:gridCol w:w="146"/>
        <w:gridCol w:w="146"/>
        <w:gridCol w:w="226"/>
        <w:gridCol w:w="1186"/>
        <w:gridCol w:w="271"/>
        <w:gridCol w:w="146"/>
        <w:gridCol w:w="146"/>
        <w:gridCol w:w="226"/>
        <w:gridCol w:w="1186"/>
        <w:gridCol w:w="31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2.00 - 2.32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1.71 - 2.57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2.40 - 2.97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warrants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granted in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56.45 - 87.55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50.86 - 70.39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37.34 - 52.03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Principal Accountant Fees and Services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for each of the years indicated, the fees billed by the Company’s independent public accountants and the proportion of each of the fees out of the total amount billed by the accountants. </w:t>
      </w:r>
    </w:p>
    <w:tbl>
      <w:tblPr>
        <w:tblW w:w="6598" w:type="dxa"/>
        <w:jc w:val="left"/>
        <w:tblInd w:w="0" w:type="dxa"/>
        <w:tblLayout w:type="fixed"/>
        <w:tblCellMar>
          <w:top w:w="28" w:type="dxa"/>
          <w:left w:w="28" w:type="dxa"/>
          <w:bottom w:w="28" w:type="dxa"/>
          <w:right w:w="28" w:type="dxa"/>
        </w:tblCellMar>
      </w:tblPr>
      <w:tblGrid>
        <w:gridCol w:w="3826"/>
        <w:gridCol w:w="146"/>
        <w:gridCol w:w="146"/>
        <w:gridCol w:w="421"/>
        <w:gridCol w:w="146"/>
        <w:gridCol w:w="146"/>
        <w:gridCol w:w="146"/>
        <w:gridCol w:w="571"/>
        <w:gridCol w:w="146"/>
        <w:gridCol w:w="146"/>
        <w:gridCol w:w="146"/>
        <w:gridCol w:w="42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accountant fees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principal accountant fees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Note 10—Tax on Profit/(Loss) for the Year and Deferred Tax</w:t>
      </w:r>
      <w:r>
        <w:rPr>
          <w:rFonts w:ascii="Times New Roman" w:hAnsi="Times New Roman"/>
          <w:color w:val="000000"/>
          <w:sz w:val="20"/>
        </w:rPr>
        <w:t xml:space="preserve"> </w:t>
      </w:r>
    </w:p>
    <w:tbl>
      <w:tblPr>
        <w:tblW w:w="9388" w:type="dxa"/>
        <w:jc w:val="left"/>
        <w:tblInd w:w="0" w:type="dxa"/>
        <w:tblLayout w:type="fixed"/>
        <w:tblCellMar>
          <w:top w:w="28" w:type="dxa"/>
          <w:left w:w="28" w:type="dxa"/>
          <w:bottom w:w="28" w:type="dxa"/>
          <w:right w:w="28" w:type="dxa"/>
        </w:tblCellMar>
      </w:tblPr>
      <w:tblGrid>
        <w:gridCol w:w="5041"/>
        <w:gridCol w:w="146"/>
        <w:gridCol w:w="146"/>
        <w:gridCol w:w="841"/>
        <w:gridCol w:w="301"/>
        <w:gridCol w:w="146"/>
        <w:gridCol w:w="146"/>
        <w:gridCol w:w="841"/>
        <w:gridCol w:w="301"/>
        <w:gridCol w:w="146"/>
        <w:gridCol w:w="146"/>
        <w:gridCol w:w="841"/>
        <w:gridCol w:w="34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on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adjustments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movement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adjustments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for the year can be explained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(373,241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(474,144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at the Danish corporation tax rate of 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effect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tax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from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effects including effect of different tax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on profit/(loss)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(7,303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in deferred tax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(expense)/income, through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Specification of deferred tax 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deductible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521,697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temporary differences,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not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(599,476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temporary differences,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assets/(liabilities)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(7,258</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Tax Assets, Not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tax assets have not been recognized in the consolidated statements of financial position as of December 31, 2025, due to uncertainty relating to future utilization. The majority of the deferred tax asset can be carried forward without timing limitations, however tax credits can only be deducted in future payable taxes over a period up to 20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has tax losses carried forward and other temporary deductible differences with a gross amount of €3,280.0 million. The deferred tax assets, not recognized of €721.6 million, mainly attributable to tax-losses carried forward, future R&amp;D depreciations, future tax deductions related to share based payments, additional tax deductions related to up-lift on R&amp;D expenses and additional tax deductions related to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tax losses carried forward of €1,954.6 million at December 31, 2025 and €1,946.2 million and €2,371.3 million as of December 31, 2024 and 2023,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losses can be carried forward infinitely, where certain limitations exist for amounts to be utilized each year. Under Danish tax legislation, tax losses may be partly refunded by the tax authorities to the extent such tax losses arise from research and development activities. The jointly taxed Danish entities had a negative taxable income and accordingly were entitled to a tax refund of approximately €0.7 million for each of the years ended December 31, 2025,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temporary differences include future tax deductions related to share based payments (Warrants, RSUs and PSUs). Tax deductions can be taken when the warrants/RSUs/PSUs are exercised/transferred. For the year ended December 31, 2025, the future tax deductions have been estimated to have a tax value of €67.0 million compared to €21.7 million and €10.6 million for the years ended December 31, 2024 and 2023, respectively. These future tax deductions depend on the future share price, timing and amounts of warrants/RSUs/PSUs exercises/transfers, and accordingly, the future tax deductions are subject to uncertainties. Refer to Note 8, “Share-based Payment,” regarding a description of warrant and RSU/PSU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the Company is entitled to additional future tax deduction related to uplift on R&amp;D deductions and tax credits with a total tax value of €29.7 million compared to 24.8 and €8.4 million for the years ended December 31, 2024 and 2023, respectively. Additional future tax deductions are included in other temporary differences.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Tax Reform - Pillar Two Model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2023, the IASB issued “International Tax Reform - Pillar Two Model Rules - Amendments to IAS 12,” which clarifies that IAS 12 applies to income taxes arising from tax law enacted or substantively enacted to implement the Pillar Two model rules published by the OECD/G20 Inclusive Framework on Base Erosion and Profit Shifting Pillar Two model rules. The Company has adopted these amendments; however, they are not applicable for the year ended December 31, 2025, as the Company’s consolidated revenue is currently below the threshold of €750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across numerous tax jurisdictions with complex, interpretative legislation. Management evaluates uncertain tax positions to ensure proper recognition and measurement of tax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Note 11—Intangible Assets</w:t>
      </w:r>
      <w:r>
        <w:rPr>
          <w:rFonts w:ascii="Times New Roman" w:hAnsi="Times New Roman"/>
          <w:color w:val="000000"/>
          <w:sz w:val="20"/>
        </w:rPr>
        <w:t xml:space="preserve"> </w:t>
      </w:r>
    </w:p>
    <w:tbl>
      <w:tblPr>
        <w:tblW w:w="5952" w:type="dxa"/>
        <w:jc w:val="left"/>
        <w:tblInd w:w="0" w:type="dxa"/>
        <w:tblLayout w:type="fixed"/>
        <w:tblCellMar>
          <w:top w:w="28" w:type="dxa"/>
          <w:left w:w="28" w:type="dxa"/>
          <w:bottom w:w="28" w:type="dxa"/>
          <w:right w:w="28" w:type="dxa"/>
        </w:tblCellMar>
      </w:tblPr>
      <w:tblGrid>
        <w:gridCol w:w="2671"/>
        <w:gridCol w:w="146"/>
        <w:gridCol w:w="155"/>
        <w:gridCol w:w="611"/>
        <w:gridCol w:w="146"/>
        <w:gridCol w:w="146"/>
        <w:gridCol w:w="146"/>
        <w:gridCol w:w="631"/>
        <w:gridCol w:w="166"/>
        <w:gridCol w:w="146"/>
        <w:gridCol w:w="146"/>
        <w:gridCol w:w="631"/>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5,867</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6,039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(1,839</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(2,329</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reporting date, no internally generated intangible assets from development of pharmaceutical drug candidates have been recognized. Thus, all related research and development expenses incurred for the years ended December 31, 2025, 2024 and 2023, were recognized in the consolidated statements of profit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Accordingly, it is not possible to look separately at Ascendis Pharma GmbH when considering the recoverable amount of the goodwill. Goodwill is monitored and tested for impairment on a consolidated level as the Company is considered to represent one cash-generating unit.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Note 12—Property, Plant and Equipment</w:t>
      </w:r>
      <w:r>
        <w:rPr>
          <w:rFonts w:ascii="Times New Roman" w:hAnsi="Times New Roman"/>
          <w:color w:val="000000"/>
          <w:sz w:val="20"/>
        </w:rPr>
        <w:t xml:space="preserve"> </w:t>
      </w:r>
    </w:p>
    <w:tbl>
      <w:tblPr>
        <w:tblW w:w="8848" w:type="dxa"/>
        <w:jc w:val="left"/>
        <w:tblInd w:w="0" w:type="dxa"/>
        <w:tblLayout w:type="fixed"/>
        <w:tblCellMar>
          <w:top w:w="28" w:type="dxa"/>
          <w:left w:w="28" w:type="dxa"/>
          <w:bottom w:w="28" w:type="dxa"/>
          <w:right w:w="28" w:type="dxa"/>
        </w:tblCellMar>
      </w:tblPr>
      <w:tblGrid>
        <w:gridCol w:w="2626"/>
        <w:gridCol w:w="146"/>
        <w:gridCol w:w="146"/>
        <w:gridCol w:w="740"/>
        <w:gridCol w:w="166"/>
        <w:gridCol w:w="146"/>
        <w:gridCol w:w="157"/>
        <w:gridCol w:w="729"/>
        <w:gridCol w:w="166"/>
        <w:gridCol w:w="146"/>
        <w:gridCol w:w="146"/>
        <w:gridCol w:w="736"/>
        <w:gridCol w:w="166"/>
        <w:gridCol w:w="146"/>
        <w:gridCol w:w="163"/>
        <w:gridCol w:w="873"/>
        <w:gridCol w:w="166"/>
        <w:gridCol w:w="146"/>
        <w:gridCol w:w="146"/>
        <w:gridCol w:w="781"/>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Leasehold</w:t>
              <w:br/>
              <w:t>Improve-</w:t>
              <w:br/>
              <w: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Transferred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222,901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(84,647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reversal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Transferred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(76,422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98,714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146,479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transfer from right-of-use assets to finance lease receivables. For further details, refer to Note 17, “Financial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impairment charge for the year ended December 31, 2025, relates to change in activities at one of the Company’s sites. The site is partially subleased (commencing in 2026) and is recognized as a right-of-use asset with a carrying amount of €30.9 million as of December 31, 2025. The impairment charge represents the difference between the carrying amount of the right</w:t>
        <w:noBreakHyphen/>
        <w:t>of</w:t>
        <w:noBreakHyphen/>
        <w:t>use subleased asset and the lease receivable, subsequently recognized at the lease commencement date.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Depreciation charges are specified below: </w:t>
      </w:r>
    </w:p>
    <w:tbl>
      <w:tblPr>
        <w:tblW w:w="7168" w:type="dxa"/>
        <w:jc w:val="left"/>
        <w:tblInd w:w="0" w:type="dxa"/>
        <w:tblLayout w:type="fixed"/>
        <w:tblCellMar>
          <w:top w:w="28" w:type="dxa"/>
          <w:left w:w="28" w:type="dxa"/>
          <w:bottom w:w="28" w:type="dxa"/>
          <w:right w:w="28" w:type="dxa"/>
        </w:tblCellMar>
      </w:tblPr>
      <w:tblGrid>
        <w:gridCol w:w="3781"/>
        <w:gridCol w:w="146"/>
        <w:gridCol w:w="146"/>
        <w:gridCol w:w="676"/>
        <w:gridCol w:w="146"/>
        <w:gridCol w:w="146"/>
        <w:gridCol w:w="146"/>
        <w:gridCol w:w="676"/>
        <w:gridCol w:w="146"/>
        <w:gridCol w:w="146"/>
        <w:gridCol w:w="146"/>
        <w:gridCol w:w="676"/>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depreciation charges capitalized as part of inventories.</w:t>
      </w:r>
    </w:p>
    <w:p>
      <w:pPr>
        <w:pStyle w:val="TextBody"/>
        <w:bidi w:val="0"/>
        <w:spacing w:before="27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13—Investments in Associates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associates relate to investments in Eyconis (principal place of business; U.S.), and VISEN (principal place of business; China). The Company’s investments in Eyconis and VISEN are accounted for using the equity method in the consolidated financial statements as the Company has determined that it has significant influence over the investments.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Eyconis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 As of December 31, 2025 and 2024, the Company’s ownership in Eyconis was 33.2% and 41.6%, respectively. As of December 31, 2025 and 2024, the carrying amount of Eyconis using the equity method was €9.2 million and €13.6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VISEN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the Company entered into three exclusive license agreements with VISEN for the further development and commercialization of TransCon hGH, TransCon PTH and TransCon CNP in Greater China, and as consideration for the granting of such rights has received a 50.0% ownership of VISEN’s issued and outstanding shares. On March 20, 2025, VISEN Pharmaceuticals (“VISEN”) announced the pricing of its initial public offering (“IPO”) on the Hong Kong Stock Exchange. The IPO closed on March 21, 2025, and VISEN’s shares began trading under the stock code 2561.HK. Prior to the IPO the Company’s ownership in VISEN was 43.9%. Following the IPO, the Company’s ownership in VISEN was 39.2%. As a result, a non-cash gain of €35.7 million was recognized in the consolidated statement of profit or loss as part of share of profit/(loss) of associates. The IPO did not change the accounting treatment of VISEN. As of December 31, 2025 and 2024, the Company’s ownership in VISEN was 39.2% and 43.9%, respectively. As of December 31, 2025, VISEN’s share price at the Hong Kong Stock Exchange was HK$32.80, reflecting the market value of the Company’s equity position of €147.5 million. As of December 31, 2025 and 2024, the carrying amount of VISEN using the equity method was €23.3 million and €0.0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and existing shareholders of VISEN, including Ascendis Pharma, have entered into customary lock-up agreements restricting the sale of VISEN shares for six months following the IPO; additionally, certain significant shareholders of VISEN, including the Company,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VISEN pursuant to applicable listing rules.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Statement Information from Associates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aggregated profit or loss, total comprehensive income as per the associates latest available interim financial statements, transactions and outstanding balances with associates as of December 31, 2025 and 2024 were as follows.</w:t>
      </w:r>
    </w:p>
    <w:tbl>
      <w:tblPr>
        <w:tblW w:w="6925" w:type="dxa"/>
        <w:jc w:val="left"/>
        <w:tblInd w:w="0" w:type="dxa"/>
        <w:tblLayout w:type="fixed"/>
        <w:tblCellMar>
          <w:top w:w="28" w:type="dxa"/>
          <w:left w:w="28" w:type="dxa"/>
          <w:bottom w:w="28" w:type="dxa"/>
          <w:right w:w="28" w:type="dxa"/>
        </w:tblCellMar>
      </w:tblPr>
      <w:tblGrid>
        <w:gridCol w:w="4996"/>
        <w:gridCol w:w="146"/>
        <w:gridCol w:w="796"/>
        <w:gridCol w:w="146"/>
        <w:gridCol w:w="84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for the year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(59,235)</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(59,218)</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Transactions and outstanding balances 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Invoicing of goods and services to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from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Note 14—Inventories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Inventories are specified below: </w:t>
      </w:r>
    </w:p>
    <w:tbl>
      <w:tblPr>
        <w:tblW w:w="5184" w:type="dxa"/>
        <w:jc w:val="left"/>
        <w:tblInd w:w="0" w:type="dxa"/>
        <w:tblLayout w:type="fixed"/>
        <w:tblCellMar>
          <w:top w:w="28" w:type="dxa"/>
          <w:left w:w="28" w:type="dxa"/>
          <w:bottom w:w="28" w:type="dxa"/>
          <w:right w:w="28" w:type="dxa"/>
        </w:tblCellMar>
      </w:tblPr>
      <w:tblGrid>
        <w:gridCol w:w="2701"/>
        <w:gridCol w:w="146"/>
        <w:gridCol w:w="146"/>
        <w:gridCol w:w="781"/>
        <w:gridCol w:w="146"/>
        <w:gridCol w:w="146"/>
        <w:gridCol w:w="146"/>
        <w:gridCol w:w="78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295,609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production lead time, work in progress includes inventories that are not sellable before more than twelve months after the reporting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Inventories were reduced by write-downs of €24.9 million and €15.7 million for the years ended December 31,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15—Contract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contract liabilities comprise unsatisfied performance obligations related to delivery of commercial supply under one of the Company’s license agreements. Non-current contract liabilities are expected to be recognized as revenue within 1-2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recognized from contract liabilities were €5.9 million, €1.4 million and €13.3 million for the years ended December 31, 2025, 2024 and 2023,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16—Provisions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Development in provisions is specified below:</w:t>
      </w:r>
    </w:p>
    <w:tbl>
      <w:tblPr>
        <w:tblW w:w="3718" w:type="dxa"/>
        <w:jc w:val="left"/>
        <w:tblInd w:w="0" w:type="dxa"/>
        <w:tblLayout w:type="fixed"/>
        <w:tblCellMar>
          <w:top w:w="28" w:type="dxa"/>
          <w:left w:w="28" w:type="dxa"/>
          <w:bottom w:w="28" w:type="dxa"/>
          <w:right w:w="28" w:type="dxa"/>
        </w:tblCellMar>
      </w:tblPr>
      <w:tblGrid>
        <w:gridCol w:w="2731"/>
        <w:gridCol w:w="146"/>
        <w:gridCol w:w="84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99,149</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related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additions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74,288</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Reversals and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166,396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17—Financial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Financial assets and liabilities comprise the following: </w:t>
      </w:r>
    </w:p>
    <w:tbl>
      <w:tblPr>
        <w:tblW w:w="8894" w:type="dxa"/>
        <w:jc w:val="left"/>
        <w:tblInd w:w="0" w:type="dxa"/>
        <w:tblLayout w:type="fixed"/>
        <w:tblCellMar>
          <w:top w:w="28" w:type="dxa"/>
          <w:left w:w="28" w:type="dxa"/>
          <w:bottom w:w="28" w:type="dxa"/>
          <w:right w:w="28" w:type="dxa"/>
        </w:tblCellMar>
      </w:tblPr>
      <w:tblGrid>
        <w:gridCol w:w="5911"/>
        <w:gridCol w:w="146"/>
        <w:gridCol w:w="146"/>
        <w:gridCol w:w="931"/>
        <w:gridCol w:w="146"/>
        <w:gridCol w:w="146"/>
        <w:gridCol w:w="146"/>
        <w:gridCol w:w="931"/>
        <w:gridCol w:w="39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indirect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indirect tax and employee related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953,321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Finance income and expenses are specified below: </w:t>
      </w:r>
    </w:p>
    <w:tbl>
      <w:tblPr>
        <w:tblW w:w="7213"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781"/>
        <w:gridCol w:w="146"/>
        <w:gridCol w:w="146"/>
        <w:gridCol w:w="146"/>
        <w:gridCol w:w="67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of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loss of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translation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and interest expenses relate to financial assets and liabilities measured at amortized cost. Net exchange rate gains and losses primarily relate to U.S. Dollar/Euro fluctuations pertaining to the Company’s cash, cash equivalents, marketable securities and borrowings.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31, 2025, the carrying amount of the convertible notes was €429.4 million, and the disclosed fair value was €426.4 million. Fair value cannot be measured based on quoted prices in active markets or other observable input, and accordingly the fair value was, from 2025, measured by using input from the private placement market. Up until 2024, the fair value the fair value was measured by using an estimated market rate for an equivalent non-convertible instrument.</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31, 2025, the carrying amount of the royalty funding liabilities was €290.9 million, and the disclosed fair value was €296.9 million. Fair value cannot be measured based on quoted prices in active markets or other observable input, and accordingly the fair value was measured by using an estimated market rate for an equivalent instrument.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leases offices and laboratory facilities. Lease arrangements contain a range of different terms and conditions and are typically entered into for fixed periods. In order to improve flexibility to the Company’s operations, lease arrangements may provide the Company with option to extend the lease or terminate the lease within the enforceable lease term. In the Company’s current lease portfolio, extension and termination options are up to ten years, in addition to the non-cancellable periods. These lease arrangements are recognized as right-of-use assets and lease liabilities (“lease activities”). In addition, the Company enter into various lease arrangements of assets with low value and/or on short term basis (12 months or less).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expenses related to lease activities were recognized in the consolidated statements of profit or loss: </w:t>
      </w:r>
    </w:p>
    <w:tbl>
      <w:tblPr>
        <w:tblW w:w="4342" w:type="dxa"/>
        <w:jc w:val="left"/>
        <w:tblInd w:w="0" w:type="dxa"/>
        <w:tblLayout w:type="fixed"/>
        <w:tblCellMar>
          <w:top w:w="28" w:type="dxa"/>
          <w:left w:w="28" w:type="dxa"/>
          <w:bottom w:w="28" w:type="dxa"/>
          <w:right w:w="28" w:type="dxa"/>
        </w:tblCellMar>
      </w:tblPr>
      <w:tblGrid>
        <w:gridCol w:w="1831"/>
        <w:gridCol w:w="146"/>
        <w:gridCol w:w="676"/>
        <w:gridCol w:w="146"/>
        <w:gridCol w:w="676"/>
        <w:gridCol w:w="146"/>
        <w:gridCol w:w="72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15,456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borrowings related to financing activities is specified below:</w:t>
      </w:r>
    </w:p>
    <w:tbl>
      <w:tblPr>
        <w:tblW w:w="10205" w:type="dxa"/>
        <w:jc w:val="left"/>
        <w:tblInd w:w="0" w:type="dxa"/>
        <w:tblLayout w:type="fixed"/>
        <w:tblCellMar>
          <w:top w:w="28" w:type="dxa"/>
          <w:left w:w="28" w:type="dxa"/>
          <w:bottom w:w="28" w:type="dxa"/>
          <w:right w:w="28" w:type="dxa"/>
        </w:tblCellMar>
      </w:tblPr>
      <w:tblGrid>
        <w:gridCol w:w="2111"/>
        <w:gridCol w:w="146"/>
        <w:gridCol w:w="826"/>
        <w:gridCol w:w="146"/>
        <w:gridCol w:w="763"/>
        <w:gridCol w:w="146"/>
        <w:gridCol w:w="898"/>
        <w:gridCol w:w="146"/>
        <w:gridCol w:w="847"/>
        <w:gridCol w:w="146"/>
        <w:gridCol w:w="961"/>
        <w:gridCol w:w="146"/>
        <w:gridCol w:w="901"/>
        <w:gridCol w:w="146"/>
        <w:gridCol w:w="901"/>
        <w:gridCol w:w="146"/>
        <w:gridCol w:w="829"/>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Non-cash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br/>
              <w:t>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Repay-</w:t>
              <w:br/>
              <w: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br/>
              <w:t>(disposals)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Remeasure-</w:t>
              <w:br/>
              <w: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Accretion of</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exchange</w:t>
              <w:br/>
              <w:t>translation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w:t>
              <w:br/>
              <w:t>year</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720,262</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151,524</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871,786</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763,586</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644,265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856,616</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cannot be measured based on quoted prices in active markets or other observable inputs and accordingly, derivative liabilities are measured by using the Black-Scholes option-pricing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(48.9% and 49.6% as of December 31, 2025 and December 31,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240" w:after="283"/>
        <w:jc w:val="left"/>
        <w:rPr>
          <w:rFonts w:ascii="Times New Roman" w:hAnsi="Times New Roman"/>
          <w:sz w:val="20"/>
        </w:rPr>
      </w:pPr>
      <w:r>
        <w:rPr>
          <w:rFonts w:ascii="Times New Roman" w:hAnsi="Times New Roman"/>
          <w:b/>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31, 2025, all other inputs and assumptions held constant, a 10% relative increase in volatility, will increase the fair value of derivative liabilities by approximately €13.2 million and indicates a decrease in profit or loss and equity before tax. Similarly, a 10% relative decrease in volatility indicates the opposite impact.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December 31, 2025, all other inputs and assumptions held constant, a 10% increase in the share price, will increase the fair value of derivative liabilities by approximately €50.8 million and indicates a decrease in profit or loss and equity before tax. Similarly, a 10% decrease in the share price indicates the opposite impact.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convertible notes, royalty funding liabilities and derivatives, and their level in the fair value hierarchy is summarized in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inputs are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inputs are inputs other than quoted prices included within Level 1 that are observable for the asset or liability, either directly or indirectly; and</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inputs are unobservable inputs for the asset or liability.</w:t>
      </w:r>
    </w:p>
    <w:tbl>
      <w:tblPr>
        <w:tblW w:w="10205" w:type="dxa"/>
        <w:jc w:val="left"/>
        <w:tblInd w:w="0" w:type="dxa"/>
        <w:tblLayout w:type="fixed"/>
        <w:tblCellMar>
          <w:top w:w="28" w:type="dxa"/>
          <w:left w:w="28" w:type="dxa"/>
          <w:bottom w:w="28" w:type="dxa"/>
          <w:right w:w="28" w:type="dxa"/>
        </w:tblCellMar>
      </w:tblPr>
      <w:tblGrid>
        <w:gridCol w:w="4310"/>
        <w:gridCol w:w="146"/>
        <w:gridCol w:w="1212"/>
        <w:gridCol w:w="146"/>
        <w:gridCol w:w="834"/>
        <w:gridCol w:w="146"/>
        <w:gridCol w:w="1212"/>
        <w:gridCol w:w="146"/>
        <w:gridCol w:w="834"/>
        <w:gridCol w:w="146"/>
        <w:gridCol w:w="1073"/>
      </w:tblGrid>
      <w:tr>
        <w:trPr/>
        <w:tc>
          <w:tcPr>
            <w:tcW w:w="4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732" w:type="dxa"/>
        <w:jc w:val="left"/>
        <w:tblInd w:w="0" w:type="dxa"/>
        <w:tblLayout w:type="fixed"/>
        <w:tblCellMar>
          <w:top w:w="28" w:type="dxa"/>
          <w:left w:w="28" w:type="dxa"/>
          <w:bottom w:w="28" w:type="dxa"/>
          <w:right w:w="28" w:type="dxa"/>
        </w:tblCellMar>
      </w:tblPr>
      <w:tblGrid>
        <w:gridCol w:w="4891"/>
        <w:gridCol w:w="146"/>
        <w:gridCol w:w="781"/>
        <w:gridCol w:w="146"/>
        <w:gridCol w:w="781"/>
        <w:gridCol w:w="146"/>
        <w:gridCol w:w="84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157,950</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financial income 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18 – Financial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manages capital to ensure that all group enterprises will be able to continue as a going concern while maximizing the return to shareholders through the optimization of debt and equity balances. </w:t>
      </w:r>
    </w:p>
    <w:p>
      <w:pPr>
        <w:pStyle w:val="TextBody"/>
        <w:bidi w:val="0"/>
        <w:spacing w:before="240" w:after="283"/>
        <w:jc w:val="left"/>
        <w:rPr>
          <w:rFonts w:ascii="Times New Roman" w:hAnsi="Times New Roman"/>
          <w:sz w:val="20"/>
        </w:rPr>
      </w:pPr>
      <w:r>
        <w:rPr>
          <w:rFonts w:ascii="Times New Roman" w:hAnsi="Times New Roman"/>
          <w:b/>
          <w:color w:val="000000"/>
          <w:sz w:val="20"/>
        </w:rPr>
        <w:t>Capital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capital structure consists of equity and external debt obtained through issuance of convertible notes and royalty funding liabilities. The Company is not subject to any contractually imposed capital requirements or financial covenants. The capital structure is reviewed on an ongoing basis for the adequacy of the Company’s capital compared to the resources required for carrying out ordinary activities</w:t>
      </w:r>
      <w:r>
        <w:rPr>
          <w:rFonts w:ascii="Times New Roman" w:hAnsi="Times New Roman"/>
          <w:color w:val="40404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in the Company’s share capital and treasury shares reserves are described in the following sections. Other equity reserves are described in Note 2, “Summary of Material Accounting Policies.” </w:t>
      </w:r>
    </w:p>
    <w:p>
      <w:pPr>
        <w:pStyle w:val="TextBody"/>
        <w:bidi w:val="0"/>
        <w:spacing w:before="240" w:after="283"/>
        <w:jc w:val="left"/>
        <w:rPr>
          <w:rFonts w:ascii="Times New Roman" w:hAnsi="Times New Roman"/>
          <w:sz w:val="20"/>
        </w:rPr>
      </w:pPr>
      <w:r>
        <w:rPr>
          <w:rFonts w:ascii="Times New Roman" w:hAnsi="Times New Roman"/>
          <w:b/>
          <w:i/>
          <w:color w:val="000000"/>
          <w:sz w:val="20"/>
        </w:rPr>
        <w:t>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 capital of Ascendis Pharma A/S consists of 61,977,408 fully paid shares at a nominal value of DKK 1, all in the same share class, and which includes 597,096 ordinary shares represented by ADSs held by Ascendis Pharma A/S.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outstanding shares of the Company was as follows:</w:t>
      </w:r>
    </w:p>
    <w:tbl>
      <w:tblPr>
        <w:tblW w:w="10205" w:type="dxa"/>
        <w:jc w:val="left"/>
        <w:tblInd w:w="0" w:type="dxa"/>
        <w:tblLayout w:type="fixed"/>
        <w:tblCellMar>
          <w:top w:w="28" w:type="dxa"/>
          <w:left w:w="28" w:type="dxa"/>
          <w:bottom w:w="28" w:type="dxa"/>
          <w:right w:w="28" w:type="dxa"/>
        </w:tblCellMar>
      </w:tblPr>
      <w:tblGrid>
        <w:gridCol w:w="2790"/>
        <w:gridCol w:w="146"/>
        <w:gridCol w:w="146"/>
        <w:gridCol w:w="1036"/>
        <w:gridCol w:w="14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2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60,689,487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57,707,439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57,152,295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53,750,386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through cash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3,187,296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61,977,408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60,689,487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57,707,439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57,152,295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56,937,682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increases in 2024 and 2021 were impacted by follow-on public offerings with net proceeds of €290.6 and €367.9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Treasury Shares Reserve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development in the holding of treasury shares was as follows: </w:t>
      </w:r>
    </w:p>
    <w:tbl>
      <w:tblPr>
        <w:tblW w:w="768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93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845,887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from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597,096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Financial Risk Management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regularly monitors the access to domestic and international financial markets, manages the financial risks relating to its operations, and analyzes exposures to risk, including market risk, such as foreign currency risk and interest rate risk, credit risk and liquidity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financial risk exposure and risk management policies are described in the following sections.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activities expose the group enterprises to the financial risks of changes in foreign currency exchange rates, inflation rates and interest rates. Derivative financial instruments are not applied to manage exposure to such risks.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foreign currency exchange risks arising from various currency exposures, primarily with respect to the U.S. Dollar (“USD”). Foreign currency exchange risks to the USD are unchanged to prior year, and primarily relate to sales and purchases in foreign currencies, convertible notes and royalty funding liabilities, countered by cash and cash equivalents. The exposure from foreign currency exchange risks is managed by maintaining cash positions in the currencies in which the majority of future expenses are denominated, and payments are made from those reserves.</w:t>
      </w:r>
    </w:p>
    <w:p>
      <w:pPr>
        <w:pStyle w:val="TextBody"/>
        <w:bidi w:val="0"/>
        <w:spacing w:before="240" w:after="283"/>
        <w:jc w:val="left"/>
        <w:rPr>
          <w:rFonts w:ascii="Times New Roman" w:hAnsi="Times New Roman"/>
          <w:sz w:val="20"/>
        </w:rPr>
      </w:pPr>
      <w:r>
        <w:rPr>
          <w:rFonts w:ascii="Times New Roman" w:hAnsi="Times New Roman"/>
          <w:i/>
          <w:color w:val="000000"/>
          <w:sz w:val="20"/>
        </w:rPr>
        <w:t>Foreign Currency Sensitivity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details how a strengthening of the USD against the EUR would impact profit or loss, and equity before tax at the reporting date. A similar weakening of the USD would have the opposite effect. A positive number indicates an increase in profit or loss and equity before tax, while a negative number indicates the opposite. The sensitivity analysis is deemed representative of the inherent foreign currency exchange risk associated with the operations. </w:t>
      </w:r>
    </w:p>
    <w:tbl>
      <w:tblPr>
        <w:tblW w:w="7306" w:type="dxa"/>
        <w:jc w:val="left"/>
        <w:tblInd w:w="0" w:type="dxa"/>
        <w:tblLayout w:type="fixed"/>
        <w:tblCellMar>
          <w:top w:w="28" w:type="dxa"/>
          <w:left w:w="28" w:type="dxa"/>
          <w:bottom w:w="28" w:type="dxa"/>
          <w:right w:w="28" w:type="dxa"/>
        </w:tblCellMar>
      </w:tblPr>
      <w:tblGrid>
        <w:gridCol w:w="1696"/>
        <w:gridCol w:w="146"/>
        <w:gridCol w:w="146"/>
        <w:gridCol w:w="841"/>
        <w:gridCol w:w="166"/>
        <w:gridCol w:w="146"/>
        <w:gridCol w:w="279"/>
        <w:gridCol w:w="606"/>
        <w:gridCol w:w="271"/>
        <w:gridCol w:w="146"/>
        <w:gridCol w:w="159"/>
        <w:gridCol w:w="801"/>
        <w:gridCol w:w="166"/>
        <w:gridCol w:w="146"/>
        <w:gridCol w:w="228"/>
        <w:gridCol w:w="1152"/>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Hypothetical impact on consolidated</w:t>
              <w:br/>
              <w:t>financial statements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positions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in</w:t>
              <w:br/>
              <w:t>foreign</w:t>
              <w:br/>
              <w:t>currency</w:t>
              <w:br/>
              <w:t>exchange</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Profit/(loss)</w:t>
              <w:br/>
              <w:t>before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before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 ‘000)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USD/EUR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Further, the effective interest rate on royalty funding liabilities is estimated at initial recognition and takes into account anticipated amount and timing of future cash flows, which further depends on future commercial revenue forecasts and the probability of exercising the embedded buy-out option. Material changes to anticipated future cash flows could potentially increase or decrease future interest expense. In addition, the interest rate on lease liabilities is fixed at the lease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Since the fair value is exposed from the development in interest rates, the profit or loss is exposed to volatility from such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effects of interest rate fluctuations are not considered a material risk to the Company’s financial position. Accordingly, no interest sensitivity analysis has been presented.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and cash equivalents, as well as rating and concentration limits for marketable securities held. All material counterparties are considered creditworthy. While the concentration of credit risk may be significant, the credit risk for each individual counterpart is considered to be low. The exposure to credit risk primarily relates to cash and cash equivalents. The credit risk on bank deposits is limited because the counterparties, holding significant deposits, are banks with minimum credit-ratings of A3/A- assigned by international credit-rating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cash and cash equivalents are held in accounts at major financial institutions, and the deposits at these institutions exceed insured limits. Market conditions can impact the viability of these institutions. In the event of failure of any of the financial institutions where cash and cash equivalents are held, there can be no assurance that uninsured funds are accessible in a timely manner or at all. Any inability to access or delay in accessing these funds could adversely affect the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investment grade rated marketable securities. The Company’s investment policy, approved by the Board, only allows investment in marketable securities having investment grade credit-ratings, assigned by international credit-rating agencies. As of December 31, 2025, the Company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the risk of expected credit loss on bank deposits and marketable securities, if any, including the hypothetical impact arising from the probability of default,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reporting dates, there are no significant overdue trade receivable balances. As a result, write-down to accommodate expected credit-losses is not deemed material.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risk of insufficient funds has been addressed through proceeds from sale of the Company’s securities in private and public offerings, through issuance of convertible notes in 2022, and through royalty funding liabilities in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Liquidity risk is managed by maintaining adequate cash reserves. The risk of shortage of funds is monitored, through the financial forecasting process, to ensure sufficient funds are available to settle liabilities as they fall due. Besides long term deposits on leases and finance lease receivables, the Company’s financial assets are recoverable within twelve months after the reporting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maturity analysis (on an undiscounted basis) for non-derivative financial liabilities recognized in the consolidated statements of financial position:</w:t>
      </w:r>
    </w:p>
    <w:tbl>
      <w:tblPr>
        <w:tblW w:w="10205" w:type="dxa"/>
        <w:jc w:val="left"/>
        <w:tblInd w:w="0" w:type="dxa"/>
        <w:tblLayout w:type="fixed"/>
        <w:tblCellMar>
          <w:top w:w="28" w:type="dxa"/>
          <w:left w:w="28" w:type="dxa"/>
          <w:bottom w:w="28" w:type="dxa"/>
          <w:right w:w="28" w:type="dxa"/>
        </w:tblCellMar>
      </w:tblPr>
      <w:tblGrid>
        <w:gridCol w:w="3765"/>
        <w:gridCol w:w="146"/>
        <w:gridCol w:w="146"/>
        <w:gridCol w:w="781"/>
        <w:gridCol w:w="146"/>
        <w:gridCol w:w="146"/>
        <w:gridCol w:w="146"/>
        <w:gridCol w:w="931"/>
        <w:gridCol w:w="146"/>
        <w:gridCol w:w="146"/>
        <w:gridCol w:w="146"/>
        <w:gridCol w:w="781"/>
        <w:gridCol w:w="146"/>
        <w:gridCol w:w="146"/>
        <w:gridCol w:w="146"/>
        <w:gridCol w:w="931"/>
        <w:gridCol w:w="146"/>
        <w:gridCol w:w="146"/>
        <w:gridCol w:w="146"/>
        <w:gridCol w:w="781"/>
        <w:gridCol w:w="191"/>
      </w:tblGrid>
      <w:tr>
        <w:trPr/>
        <w:tc>
          <w:tcPr>
            <w:tcW w:w="3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1,292,268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963,489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color w:val="000000"/>
        </w:rPr>
      </w:pPr>
      <w:r>
        <w:rPr>
          <w:color w:val="000000"/>
        </w:rPr>
        <w:t>“</w:t>
      </w:r>
      <w:r>
        <w:rPr>
          <w:rFonts w:ascii="Times New Roman" w:hAnsi="Times New Roman"/>
          <w:color w:val="000000"/>
          <w:sz w:val="20"/>
        </w:rPr>
        <w:t>Borrowings (excluding lease liabilities)” comprise convertible notes and royalty funding liabilities. Expected maturity for royalty funding liabilities is based on anticipated amount and timing of future revenue from sale of commercial products. Further details regarding the payment structure of the royalty funding agreements are provided above.</w:t>
      </w:r>
    </w:p>
    <w:p>
      <w:pPr>
        <w:pStyle w:val="TextBody"/>
        <w:bidi w:val="0"/>
        <w:spacing w:before="240" w:after="283"/>
        <w:jc w:val="left"/>
        <w:rPr>
          <w:rFonts w:ascii="Times New Roman" w:hAnsi="Times New Roman"/>
          <w:sz w:val="20"/>
        </w:rPr>
      </w:pPr>
      <w:r>
        <w:rPr>
          <w:rFonts w:ascii="Times New Roman" w:hAnsi="Times New Roman"/>
          <w:b/>
          <w:color w:val="000000"/>
          <w:sz w:val="20"/>
        </w:rPr>
        <w:t>Note 19—Commitments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minimum commitments related to the manufacturing of product supply, subject to continuous negotiation and adjustments according to the individual contractual terms and conditions. Cost of product supply is recognized when the Company obtains control of the goods. In addition, the Company has commitments related to short-term leases and leases of low value assets, contracts of various lengths in respect of research and development with CROs, and IT and facility related services. Costs relating to those commitments are recognized as services are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not aware of any significant legal claims or disputes. </w:t>
      </w:r>
    </w:p>
    <w:p>
      <w:pPr>
        <w:pStyle w:val="TextBody"/>
        <w:bidi w:val="0"/>
        <w:spacing w:before="360" w:after="283"/>
        <w:jc w:val="left"/>
        <w:rPr>
          <w:rFonts w:ascii="Times New Roman" w:hAnsi="Times New Roman"/>
          <w:sz w:val="20"/>
        </w:rPr>
      </w:pPr>
      <w:r>
        <w:rPr>
          <w:rFonts w:ascii="Times New Roman" w:hAnsi="Times New Roman"/>
          <w:b/>
          <w:color w:val="000000"/>
          <w:sz w:val="20"/>
        </w:rPr>
        <w:t>Note 20—Related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and Senior Management (“Key Management Personnel”) are considered related parties as they have authority and responsibility for planning and directing the Company’s operations. Related parties also include undertakings in which such individuals have a controlling or joint controlling interest. Additionally, all group enterprises and associates are considered related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Neither the Company’s related parties nor major shareholders hold a controlling, joint controlling, or significant interest in the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entered into employment agreements with and issued warrants, RSUs and PSUs to Key Management Personnel. In addition, the Company pays fees for board tenure and board committee tenure to the independent members of the Board of Directors. For further details, refer to Note 7, “Employee Costs.” Indemnification agreements have been entered with members of the Board of Directors, the Executive Board and Non-executive Senior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Transactions between the parent company and group enterprises comprise management and license fees, research and development services, administration services, and clinical and commercial supplies. These transactions have been eliminated in the consolidated financial statements. Transactions and outstanding balances with the associates are disclosed in Note 13, “Investments in Associates.”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parent company Ascendis Pharma A/S is jointly taxed with its Danish subsidiaries, where the current Danish corporation tax is allocated between the jointly taxed Danish companies. For further details, refer to Note 10, “Tax on Profit/(Loss) for the Year and Deferred Tax.”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for the information disclosed above, the Company has not undertaken any significant transactions with members of the Key Management Personnel, or undertakings in which the identified related parties have a controlling or joint controlling interest.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21—Investments in Group Enterprises and Associates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Ascendis Pharma A/S’s (parent company) investments in group enterprises and associates at December 31, 2025 comprise: </w:t>
      </w:r>
    </w:p>
    <w:tbl>
      <w:tblPr>
        <w:tblW w:w="6941" w:type="dxa"/>
        <w:jc w:val="left"/>
        <w:tblInd w:w="0" w:type="dxa"/>
        <w:tblLayout w:type="fixed"/>
        <w:tblCellMar>
          <w:top w:w="28" w:type="dxa"/>
          <w:left w:w="28" w:type="dxa"/>
          <w:bottom w:w="28" w:type="dxa"/>
          <w:right w:w="28" w:type="dxa"/>
        </w:tblCellMar>
      </w:tblPr>
      <w:tblGrid>
        <w:gridCol w:w="3976"/>
        <w:gridCol w:w="146"/>
        <w:gridCol w:w="1471"/>
        <w:gridCol w:w="146"/>
        <w:gridCol w:w="211"/>
        <w:gridCol w:w="675"/>
        <w:gridCol w:w="316"/>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Domicile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Ophthalmology Division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Division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Bone Diseases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Growth Disorders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Oncology Division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Europe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UK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Iberia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France SASU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Italia S.R.L.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Sverige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Switzerland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Belgium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ASND Portugal, Unipessoal, Lda.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Associates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Domicile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VISEN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Eyconis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22—Ownership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investors, or groups of affiliated investors, are known by us to beneficially own more than 5% of the Company’s outstanding ordinary shares at December 31,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Entities affiliated with RA Capital Management, LLC, USA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Westfield Capital Management Company, L.P., USA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Entities affiliated with FMR LLC, USA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Avoro Capital Advisors LLC, USA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Entities affiliated with Artisan Partners LP, USA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Entities affiliated with Janus Henderson Group plc, United Kingdom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Entities affiliated with Capital International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American Depository Shares are held through BNY (Nominees) Limited as nominee, of The Bank of New York Mellon, UK (as registered holder of the Company’s outstanding ADSs). </w:t>
      </w:r>
    </w:p>
    <w:p>
      <w:pPr>
        <w:pStyle w:val="TextBody"/>
        <w:bidi w:val="0"/>
        <w:spacing w:before="360" w:after="283"/>
        <w:jc w:val="left"/>
        <w:rPr>
          <w:rFonts w:ascii="Times New Roman" w:hAnsi="Times New Roman"/>
          <w:sz w:val="20"/>
        </w:rPr>
      </w:pPr>
      <w:r>
        <w:rPr>
          <w:rFonts w:ascii="Times New Roman" w:hAnsi="Times New Roman"/>
          <w:b/>
          <w:color w:val="000000"/>
          <w:sz w:val="20"/>
        </w:rPr>
        <w:t>Note 23—Subsequent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the Company announced that our Board has authorized a $120 million share repurchase program (the “Share Repurchase Program”). Purchases under the Share Repurchase Program may be made from time to time through a variety of methods, which may include open-market purchases, privately negotiated transactions, or other methods permitted under applicable securities laws. The timing and amount of any repurchases pursuant to the Share Repurchase Program will be determined based on market conditions, share price and other factors. The Share Repurchase Program does not require the Company to repurchase any specific number of shares, and may be modified, suspended or terminated at any time without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other events have occurred after the reporting date that would influence the evaluation of these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3" w:name="item_19_exhibits"/>
      <w:bookmarkEnd w:id="43"/>
      <w:r>
        <w:rPr>
          <w:rFonts w:ascii="Times New Roman" w:hAnsi="Times New Roman"/>
          <w:b/>
          <w:color w:val="000000"/>
          <w:sz w:val="20"/>
        </w:rPr>
        <w:t>Item 19</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exhibits are filed as part of this annual report: </w:t>
      </w:r>
    </w:p>
    <w:tbl>
      <w:tblPr>
        <w:tblW w:w="10205" w:type="dxa"/>
        <w:jc w:val="left"/>
        <w:tblInd w:w="0" w:type="dxa"/>
        <w:tblLayout w:type="fixed"/>
        <w:tblCellMar>
          <w:top w:w="28" w:type="dxa"/>
          <w:left w:w="28" w:type="dxa"/>
          <w:bottom w:w="28" w:type="dxa"/>
          <w:right w:w="28" w:type="dxa"/>
        </w:tblCellMar>
      </w:tblPr>
      <w:tblGrid>
        <w:gridCol w:w="723"/>
        <w:gridCol w:w="5981"/>
        <w:gridCol w:w="511"/>
        <w:gridCol w:w="650"/>
        <w:gridCol w:w="691"/>
        <w:gridCol w:w="822"/>
        <w:gridCol w:w="827"/>
      </w:tblGrid>
      <w:tr>
        <w:trPr/>
        <w:tc>
          <w:tcPr>
            <w:tcW w:w="723" w:type="dxa"/>
            <w:tcBorders/>
            <w:shd w:fill="FFFFFF" w:val="clear"/>
            <w:vAlign w:val="center"/>
          </w:tcPr>
          <w:p>
            <w:pPr>
              <w:pStyle w:val="TableContents"/>
              <w:bidi w:val="0"/>
              <w:spacing w:before="0" w:after="283"/>
              <w:jc w:val="left"/>
              <w:rPr>
                <w:sz w:val="4"/>
                <w:szCs w:val="4"/>
              </w:rPr>
            </w:pPr>
            <w:r>
              <w:rPr>
                <w:sz w:val="4"/>
                <w:szCs w:val="4"/>
              </w:rPr>
            </w:r>
          </w:p>
        </w:tc>
        <w:tc>
          <w:tcPr>
            <w:tcW w:w="598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822"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98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267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vMerge w:val="continue"/>
            <w:tcBorders/>
            <w:tcMar>
              <w:top w:w="0" w:type="dxa"/>
              <w:left w:w="0" w:type="dxa"/>
              <w:bottom w:w="0" w:type="dxa"/>
              <w:right w:w="0" w:type="dxa"/>
            </w:tcMar>
            <w:vAlign w:val="center"/>
          </w:tcPr>
          <w:p>
            <w:pPr>
              <w:pStyle w:val="Normal"/>
              <w:bidi w:val="0"/>
              <w:jc w:val="left"/>
              <w:rPr/>
            </w:pPr>
            <w:r>
              <w:rPr/>
            </w:r>
          </w:p>
        </w:tc>
        <w:tc>
          <w:tcPr>
            <w:tcW w:w="5981" w:type="dxa"/>
            <w:vMerge w:val="continue"/>
            <w:tcBorders/>
            <w:tcMar>
              <w:top w:w="0" w:type="dxa"/>
              <w:left w:w="0" w:type="dxa"/>
              <w:bottom w:w="0" w:type="dxa"/>
              <w:right w:w="0" w:type="dxa"/>
            </w:tcMar>
            <w:vAlign w:val="center"/>
          </w:tcPr>
          <w:p>
            <w:pPr>
              <w:pStyle w:val="Normal"/>
              <w:bidi w:val="0"/>
              <w:jc w:val="left"/>
              <w:rPr/>
            </w:pPr>
            <w:r>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1.1</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17">
              <w:r>
                <w:rPr>
                  <w:rStyle w:val="InternetLink"/>
                  <w:rFonts w:ascii="Times New Roman" w:hAnsi="Times New Roman"/>
                  <w:color w:val="0000FF"/>
                  <w:sz w:val="20"/>
                  <w:u w:val="single"/>
                </w:rPr>
                <w:t>Articles of Association, currently in effect (English translation).</w:t>
              </w:r>
            </w:hyperlink>
            <w:hyperlink r:id="rId18">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2.1</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19">
              <w:r>
                <w:rPr>
                  <w:rStyle w:val="InternetLink"/>
                  <w:rFonts w:ascii="Times New Roman" w:hAnsi="Times New Roman"/>
                  <w:color w:val="0000FF"/>
                  <w:sz w:val="20"/>
                  <w:u w:val="single"/>
                </w:rPr>
                <w:t>Deposit Agreement dated January 27, 2015 among Ascendis Pharma A/S The Bank of New York Mellon and Owners and Holders of American Depositary Shares.</w:t>
              </w:r>
            </w:hyperlink>
            <w:hyperlink r:id="rId20">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F-3</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2/2/2016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333-209336</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2.2</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21">
              <w:r>
                <w:rPr>
                  <w:rStyle w:val="InternetLink"/>
                  <w:rFonts w:ascii="Times New Roman" w:hAnsi="Times New Roman"/>
                  <w:color w:val="0000FF"/>
                  <w:sz w:val="20"/>
                  <w:u w:val="single"/>
                </w:rPr>
                <w:t>Form of American Depositary Receipt (included in Exhibit 2.1).</w:t>
              </w:r>
            </w:hyperlink>
            <w:hyperlink r:id="rId22">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2.3</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2_3.htm">
              <w:r>
                <w:rPr>
                  <w:rStyle w:val="InternetLink"/>
                  <w:rFonts w:ascii="Times New Roman" w:hAnsi="Times New Roman"/>
                  <w:color w:val="0000FF"/>
                  <w:sz w:val="20"/>
                  <w:u w:val="single"/>
                </w:rPr>
                <w:t>Description of Share Capital and American Depositary Shares.</w:t>
              </w:r>
            </w:hyperlink>
            <w:hyperlink w:anchor="asnd-ex2_3.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4.1(a)</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23">
              <w:r>
                <w:rPr>
                  <w:rStyle w:val="InternetLink"/>
                  <w:rFonts w:ascii="Times New Roman" w:hAnsi="Times New Roman"/>
                  <w:color w:val="0000FF"/>
                  <w:sz w:val="20"/>
                  <w:u w:val="single"/>
                </w:rPr>
                <w:t>Rental Agreement, between Technologiepark Heidelberg II GmbH &amp; Co. KG and Ascendis Pharma GmbH (English translation).</w:t>
              </w:r>
            </w:hyperlink>
            <w:hyperlink r:id="rId24">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12/18/2014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10.3(a)</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333-201050</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4.1(b)</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25">
              <w:r>
                <w:rPr>
                  <w:rStyle w:val="InternetLink"/>
                  <w:rFonts w:ascii="Times New Roman" w:hAnsi="Times New Roman"/>
                  <w:color w:val="0000FF"/>
                  <w:sz w:val="20"/>
                  <w:u w:val="single"/>
                </w:rPr>
                <w:t>Supplement No. 1 to Rental Agreement, between Technologiepark Heidelberg II GmbH &amp; Co. KG and Ascendis Pharma GmbH (English translation).</w:t>
              </w:r>
            </w:hyperlink>
            <w:hyperlink r:id="rId26">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12/18/2014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10.3(b)</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333-201050</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4.2(a)</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27">
              <w:r>
                <w:rPr>
                  <w:rStyle w:val="InternetLink"/>
                  <w:rFonts w:ascii="Times New Roman" w:hAnsi="Times New Roman"/>
                  <w:color w:val="0000FF"/>
                  <w:sz w:val="20"/>
                  <w:u w:val="single"/>
                </w:rPr>
                <w:t>Reference is made to Exhibit 1.1.</w:t>
              </w:r>
            </w:hyperlink>
            <w:hyperlink r:id="rId28">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4.2(b)</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29">
              <w:r>
                <w:rPr>
                  <w:rStyle w:val="InternetLink"/>
                  <w:rFonts w:ascii="Times New Roman" w:hAnsi="Times New Roman"/>
                  <w:color w:val="0000FF"/>
                  <w:sz w:val="20"/>
                  <w:u w:val="single"/>
                </w:rPr>
                <w:t>Form of Warrant Certificate for Warrants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4.2(b)</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4.3</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0">
              <w:r>
                <w:rPr>
                  <w:rStyle w:val="InternetLink"/>
                  <w:rFonts w:ascii="Times New Roman" w:hAnsi="Times New Roman"/>
                  <w:color w:val="0000FF"/>
                  <w:sz w:val="20"/>
                  <w:u w:val="single"/>
                </w:rPr>
                <w:t>Form of Indemnification Agreement for board members and senior management.</w:t>
              </w:r>
            </w:hyperlink>
            <w:hyperlink r:id="rId31">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1/16/2015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333-201050</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4.4</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2">
              <w:r>
                <w:rPr>
                  <w:rStyle w:val="InternetLink"/>
                  <w:rFonts w:ascii="Times New Roman" w:hAnsi="Times New Roman"/>
                  <w:color w:val="0000FF"/>
                  <w:sz w:val="20"/>
                  <w:u w:val="single"/>
                </w:rPr>
                <w:t>Registration Rights Agreement dated December 11, 2015 by and among Ascendis Pharma A/S, Fidelity Securities Fund: Fidelity Series Small Cap Opportunities Fund—Healthcare Sub and Fidelity Stock Selector Small Cap Fund—Health Care Sub.</w:t>
              </w:r>
            </w:hyperlink>
            <w:hyperlink r:id="rId33">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12/14/2015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4.5*</w:t>
            </w:r>
          </w:p>
          <w:p>
            <w:pPr>
              <w:pStyle w:val="TableContents"/>
              <w:bidi w:val="0"/>
              <w:spacing w:before="0" w:after="283"/>
              <w:ind w:left="0" w:right="0" w:firstLine="180"/>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4_5.htm">
              <w:r>
                <w:rPr>
                  <w:rStyle w:val="InternetLink"/>
                  <w:rFonts w:ascii="Times New Roman" w:hAnsi="Times New Roman"/>
                  <w:color w:val="0000FF"/>
                  <w:sz w:val="20"/>
                  <w:u w:val="single"/>
                </w:rPr>
                <w:t>Lease Agreement dated July 1, 2025 between Ascendis Pharma A/S and Tuborg Havnevej I/S</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4.6</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4">
              <w:r>
                <w:rPr>
                  <w:rStyle w:val="InternetLink"/>
                  <w:rFonts w:ascii="Times New Roman" w:hAnsi="Times New Roman"/>
                  <w:color w:val="0000FF"/>
                  <w:sz w:val="20"/>
                  <w:u w:val="single"/>
                </w:rPr>
                <w:t>Manufacturing and Supply Agreement dated January 12, 2017, between Ascendis Pharma A/S and Medicom Innovation Partner A/S.</w:t>
              </w:r>
            </w:hyperlink>
            <w:r>
              <w:rPr>
                <w:rFonts w:ascii="Times New Roman" w:hAnsi="Times New Roman"/>
                <w:color w:val="000000"/>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3/28/2018</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4.7*</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5">
              <w:r>
                <w:rPr>
                  <w:rStyle w:val="InternetLink"/>
                  <w:rFonts w:ascii="Times New Roman" w:hAnsi="Times New Roman"/>
                  <w:color w:val="0000FF"/>
                  <w:sz w:val="20"/>
                  <w:u w:val="single"/>
                </w:rPr>
                <w:t>Exclusive Licence Agreement dated November 7, 2018, between Ascendis Pharma Growth Disorders A/S and VISEN Pharmaceuticals (CNP).</w:t>
              </w:r>
            </w:hyperlink>
            <w:hyperlink r:id="rId36">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4/3/2019</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4.8*</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7">
              <w:r>
                <w:rPr>
                  <w:rStyle w:val="InternetLink"/>
                  <w:rFonts w:ascii="Times New Roman" w:hAnsi="Times New Roman"/>
                  <w:color w:val="0000FF"/>
                  <w:sz w:val="20"/>
                  <w:u w:val="single"/>
                </w:rPr>
                <w:t>Exclusive Licence Agreement dated November 7, 2018, between Ascendis Pharma Endocrinology Division A/S and VISEN Pharmaceuticals (hGH).</w:t>
              </w:r>
            </w:hyperlink>
            <w:hyperlink r:id="rId38">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4/3/2019</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4.9*</w:t>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39">
              <w:r>
                <w:rPr>
                  <w:rStyle w:val="InternetLink"/>
                  <w:rFonts w:ascii="Times New Roman" w:hAnsi="Times New Roman"/>
                  <w:color w:val="0000FF"/>
                  <w:sz w:val="20"/>
                  <w:u w:val="single"/>
                </w:rPr>
                <w:t>Exclusive Licence Agreement dated November 7, 2018, between Ascendis Pharma Bone Diseases A/S and VISEN Pharmaceuticals (PTH).</w:t>
              </w:r>
            </w:hyperlink>
            <w:hyperlink r:id="rId40">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4/3/2019</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8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5967"/>
        <w:gridCol w:w="511"/>
        <w:gridCol w:w="645"/>
        <w:gridCol w:w="691"/>
        <w:gridCol w:w="839"/>
        <w:gridCol w:w="828"/>
      </w:tblGrid>
      <w:tr>
        <w:trPr/>
        <w:tc>
          <w:tcPr>
            <w:tcW w:w="724" w:type="dxa"/>
            <w:tcBorders/>
            <w:shd w:fill="FFFFFF" w:val="clear"/>
            <w:vAlign w:val="center"/>
          </w:tcPr>
          <w:p>
            <w:pPr>
              <w:pStyle w:val="TableContents"/>
              <w:bidi w:val="0"/>
              <w:spacing w:before="0" w:after="283"/>
              <w:jc w:val="left"/>
              <w:rPr>
                <w:sz w:val="4"/>
                <w:szCs w:val="4"/>
              </w:rPr>
            </w:pPr>
            <w:r>
              <w:rPr>
                <w:sz w:val="4"/>
                <w:szCs w:val="4"/>
              </w:rPr>
            </w:r>
          </w:p>
        </w:tc>
        <w:tc>
          <w:tcPr>
            <w:tcW w:w="5967"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45"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967"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2686"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vMerge w:val="continue"/>
            <w:tcBorders/>
            <w:tcMar>
              <w:top w:w="0" w:type="dxa"/>
              <w:left w:w="0" w:type="dxa"/>
              <w:bottom w:w="0" w:type="dxa"/>
              <w:right w:w="0" w:type="dxa"/>
            </w:tcMar>
            <w:vAlign w:val="center"/>
          </w:tcPr>
          <w:p>
            <w:pPr>
              <w:pStyle w:val="Normal"/>
              <w:bidi w:val="0"/>
              <w:jc w:val="left"/>
              <w:rPr/>
            </w:pPr>
            <w:r>
              <w:rPr/>
            </w:r>
          </w:p>
        </w:tc>
        <w:tc>
          <w:tcPr>
            <w:tcW w:w="5967" w:type="dxa"/>
            <w:vMerge w:val="continue"/>
            <w:tcBorders/>
            <w:tcMar>
              <w:top w:w="0" w:type="dxa"/>
              <w:left w:w="0" w:type="dxa"/>
              <w:bottom w:w="0" w:type="dxa"/>
              <w:right w:w="0" w:type="dxa"/>
            </w:tcMar>
            <w:vAlign w:val="center"/>
          </w:tcPr>
          <w:p>
            <w:pPr>
              <w:pStyle w:val="Normal"/>
              <w:bidi w:val="0"/>
              <w:jc w:val="left"/>
              <w:rPr/>
            </w:pPr>
            <w:r>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4.10*</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1">
              <w:r>
                <w:rPr>
                  <w:rStyle w:val="InternetLink"/>
                  <w:rFonts w:ascii="Times New Roman" w:hAnsi="Times New Roman"/>
                  <w:color w:val="0000FF"/>
                  <w:sz w:val="20"/>
                  <w:u w:val="single"/>
                </w:rPr>
                <w:t>Manufacturing and Supply Agreement dated December 27, 2020, between Ascendis Pharma A/S and Bachem AG.</w:t>
              </w:r>
            </w:hyperlink>
            <w:r>
              <w:rPr>
                <w:rFonts w:ascii="Times New Roman" w:hAnsi="Times New Roman"/>
                <w:color w:val="000000"/>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4.11*</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2">
              <w:r>
                <w:rPr>
                  <w:rStyle w:val="InternetLink"/>
                  <w:rFonts w:ascii="Times New Roman" w:hAnsi="Times New Roman"/>
                  <w:color w:val="0000FF"/>
                  <w:sz w:val="20"/>
                  <w:u w:val="single"/>
                </w:rPr>
                <w:t>Manufacturing and Supply Agreement dated May 27, 2021, between Ascendis Pharma A/S and Carbogen Amcis AG.</w:t>
              </w:r>
            </w:hyperlink>
            <w:r>
              <w:rPr>
                <w:rFonts w:ascii="Times New Roman" w:hAnsi="Times New Roman"/>
                <w:color w:val="000000"/>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4.12*</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3">
              <w:r>
                <w:rPr>
                  <w:rStyle w:val="InternetLink"/>
                  <w:rFonts w:ascii="Times New Roman" w:hAnsi="Times New Roman"/>
                  <w:color w:val="0000FF"/>
                  <w:sz w:val="20"/>
                  <w:u w:val="single"/>
                </w:rPr>
                <w:t>Amended and Restated Shareholders Agreement dated January 8, 2021, by and among Ascendis Pharma A/S and the parties set forth therein.</w:t>
              </w:r>
            </w:hyperlink>
            <w:hyperlink r:id="rId44">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4.13*</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5">
              <w:r>
                <w:rPr>
                  <w:rStyle w:val="InternetLink"/>
                  <w:rFonts w:ascii="Times New Roman" w:hAnsi="Times New Roman"/>
                  <w:color w:val="0000FF"/>
                  <w:sz w:val="20"/>
                  <w:u w:val="single"/>
                </w:rPr>
                <w:t>Amendment Letter to the Exclusive Licence Agreement dated January 4, 2021 between Ascendis Pharma Growth Disorders A/S and VISEN Pharmaceuticals (CNP).</w:t>
              </w:r>
            </w:hyperlink>
            <w:hyperlink r:id="rId46">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4.14*</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7">
              <w:r>
                <w:rPr>
                  <w:rStyle w:val="InternetLink"/>
                  <w:rFonts w:ascii="Times New Roman" w:hAnsi="Times New Roman"/>
                  <w:color w:val="0000FF"/>
                  <w:sz w:val="20"/>
                  <w:u w:val="single"/>
                </w:rPr>
                <w:t>Amendment Letter to the Exclusive Licence Agreement dated January 4, 2021 between Ascendis Pharma Endocrinology Division A/S and VISEN Pharmaceuticals (hGH).</w:t>
              </w:r>
            </w:hyperlink>
            <w:hyperlink r:id="rId48">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4.15*</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49">
              <w:r>
                <w:rPr>
                  <w:rStyle w:val="InternetLink"/>
                  <w:rFonts w:ascii="Times New Roman" w:hAnsi="Times New Roman"/>
                  <w:color w:val="0000FF"/>
                  <w:sz w:val="20"/>
                  <w:u w:val="single"/>
                </w:rPr>
                <w:t>Amendment Letter to the Exclusive Licence Agreement dated January 4, 2021 between Ascendis Pharma Bone Diseases A/S and VISEN Pharmaceuticals (PTH).</w:t>
              </w:r>
            </w:hyperlink>
            <w:hyperlink r:id="rId50">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4.16*</w:t>
            </w:r>
          </w:p>
        </w:tc>
        <w:tc>
          <w:tcPr>
            <w:tcW w:w="5967" w:type="dxa"/>
            <w:tcBorders/>
            <w:tcMar>
              <w:top w:w="0" w:type="dxa"/>
              <w:left w:w="0" w:type="dxa"/>
              <w:bottom w:w="0" w:type="dxa"/>
              <w:right w:w="0" w:type="dxa"/>
            </w:tcMar>
            <w:vAlign w:val="center"/>
          </w:tcPr>
          <w:p>
            <w:pPr>
              <w:pStyle w:val="TableContents"/>
              <w:bidi w:val="0"/>
              <w:ind w:left="0" w:right="0" w:firstLine="187"/>
              <w:jc w:val="left"/>
              <w:rPr/>
            </w:pPr>
            <w:hyperlink r:id="rId51">
              <w:r>
                <w:rPr>
                  <w:rStyle w:val="InternetLink"/>
                  <w:rFonts w:ascii="Times New Roman" w:hAnsi="Times New Roman"/>
                  <w:color w:val="0000FF"/>
                  <w:sz w:val="20"/>
                  <w:u w:val="single"/>
                </w:rPr>
                <w:t>Revenue Participation Right Purchase and Sale Agreement dated September 5, 2023 between Ascendis Pharma Endocrinology Division A/S, Ascendis Pharma A/S and Royalty Pharma Development Funding LLC.</w:t>
              </w:r>
            </w:hyperlink>
          </w:p>
          <w:p>
            <w:pPr>
              <w:pStyle w:val="TableContents"/>
              <w:bidi w:val="0"/>
              <w:spacing w:before="0" w:after="283"/>
              <w:ind w:left="0" w:right="0" w:firstLine="187"/>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4.17*</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r:id="rId52">
              <w:r>
                <w:rPr>
                  <w:rStyle w:val="InternetLink"/>
                  <w:rFonts w:ascii="Times New Roman" w:hAnsi="Times New Roman"/>
                  <w:color w:val="0000FF"/>
                  <w:sz w:val="20"/>
                  <w:u w:val="single"/>
                </w:rPr>
                <w:t>Revenue Participation Right Purchase and Sale Agreement dated September 3, 2024 between Ascendis Pharma Bone Diseases A/S, Ascendis Pharma A/S and Royalty Pharma Development Funding LLC.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c>
          <w:tcPr>
            <w:tcW w:w="8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001-36815</w:t>
            </w:r>
          </w:p>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
              </w:rPr>
            </w:pPr>
            <w:r>
              <w:rPr>
                <w:rFonts w:ascii="Times New Roman" w:hAnsi="Times New Roman"/>
                <w:color w:val="000000"/>
                <w:sz w:val="2"/>
              </w:rPr>
              <w:t>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
              </w:rPr>
            </w:pPr>
            <w:r>
              <w:rPr>
                <w:rFonts w:ascii="Times New Roman" w:hAnsi="Times New Roman"/>
                <w:color w:val="000000"/>
                <w:sz w:val="2"/>
              </w:rPr>
              <w:t>2/12</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4.18*</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r:id="rId53">
              <w:r>
                <w:rPr>
                  <w:rStyle w:val="InternetLink"/>
                  <w:rFonts w:ascii="Times New Roman" w:hAnsi="Times New Roman"/>
                  <w:color w:val="0000FF"/>
                  <w:sz w:val="20"/>
                  <w:u w:val="single"/>
                </w:rPr>
                <w:t>Supply Agreement dated October 1, 2022 between Ascendis Pharma A/S and Vetter Pharma International GmbH.</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4.19*</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r:id="rId54">
              <w:r>
                <w:rPr>
                  <w:rStyle w:val="InternetLink"/>
                  <w:rFonts w:ascii="Times New Roman" w:hAnsi="Times New Roman"/>
                  <w:color w:val="0000FF"/>
                  <w:sz w:val="20"/>
                  <w:u w:val="single"/>
                </w:rPr>
                <w:t>Amendment Number 1 to Supply Agreement dated April 8, 2024 between Ascendis Pharma A/S and Vetter Pharma International GmbH</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4.20</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55">
              <w:r>
                <w:rPr>
                  <w:rStyle w:val="InternetLink"/>
                  <w:rFonts w:ascii="Times New Roman" w:hAnsi="Times New Roman"/>
                  <w:color w:val="0000FF"/>
                  <w:sz w:val="20"/>
                  <w:u w:val="single"/>
                </w:rPr>
                <w:t>Ascendis Pharma A/S Restricted Stock Unit Program.</w:t>
              </w:r>
            </w:hyperlink>
            <w:hyperlink r:id="rId56">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333-285322</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4.21</w:t>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r:id="rId57">
              <w:r>
                <w:rPr>
                  <w:rStyle w:val="InternetLink"/>
                  <w:rFonts w:ascii="Times New Roman" w:hAnsi="Times New Roman"/>
                  <w:color w:val="0000FF"/>
                  <w:sz w:val="20"/>
                  <w:u w:val="single"/>
                </w:rPr>
                <w:t>Ascendis Pharma A/S Performance Stock Unit Program.</w:t>
              </w:r>
            </w:hyperlink>
            <w:r>
              <w:rPr>
                <w:rFonts w:ascii="Times New Roman" w:hAnsi="Times New Roman"/>
                <w:color w:val="0000FF"/>
                <w:sz w:val="20"/>
              </w:rPr>
              <w:t xml:space="preserve">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8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333-285322</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5967"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8.1</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8_1.htm">
              <w:r>
                <w:rPr>
                  <w:rStyle w:val="InternetLink"/>
                  <w:rFonts w:ascii="Times New Roman" w:hAnsi="Times New Roman"/>
                  <w:color w:val="0000FF"/>
                  <w:sz w:val="20"/>
                  <w:u w:val="single"/>
                </w:rPr>
                <w:t>List of Subsidiaries.</w:t>
              </w:r>
            </w:hyperlink>
            <w:hyperlink w:anchor="asnd-ex8_1.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11.1</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1_1.htm">
              <w:r>
                <w:rPr>
                  <w:rStyle w:val="InternetLink"/>
                  <w:rFonts w:ascii="Times New Roman" w:hAnsi="Times New Roman"/>
                  <w:color w:val="0000FF"/>
                  <w:sz w:val="20"/>
                  <w:u w:val="single"/>
                </w:rPr>
                <w:t>Insider Trading Compliance Policy.</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967"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5538"/>
        <w:gridCol w:w="511"/>
        <w:gridCol w:w="709"/>
        <w:gridCol w:w="691"/>
        <w:gridCol w:w="865"/>
        <w:gridCol w:w="828"/>
      </w:tblGrid>
      <w:tr>
        <w:trPr/>
        <w:tc>
          <w:tcPr>
            <w:tcW w:w="1063" w:type="dxa"/>
            <w:tcBorders/>
            <w:shd w:fill="FFFFFF" w:val="clear"/>
            <w:vAlign w:val="center"/>
          </w:tcPr>
          <w:p>
            <w:pPr>
              <w:pStyle w:val="TableContents"/>
              <w:bidi w:val="0"/>
              <w:spacing w:before="0" w:after="283"/>
              <w:jc w:val="left"/>
              <w:rPr>
                <w:sz w:val="4"/>
                <w:szCs w:val="4"/>
              </w:rPr>
            </w:pPr>
            <w:r>
              <w:rPr>
                <w:sz w:val="4"/>
                <w:szCs w:val="4"/>
              </w:rPr>
            </w:r>
          </w:p>
        </w:tc>
        <w:tc>
          <w:tcPr>
            <w:tcW w:w="5538"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left"/>
              <w:rPr/>
            </w:pPr>
            <w:r>
              <w:rPr/>
              <w:t> </w:t>
            </w:r>
          </w:p>
        </w:tc>
        <w:tc>
          <w:tcPr>
            <w:tcW w:w="55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538"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2776"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vMerge w:val="continue"/>
            <w:tcBorders/>
            <w:tcMar>
              <w:top w:w="0" w:type="dxa"/>
              <w:left w:w="0" w:type="dxa"/>
              <w:bottom w:w="0" w:type="dxa"/>
              <w:right w:w="0" w:type="dxa"/>
            </w:tcMar>
            <w:vAlign w:val="center"/>
          </w:tcPr>
          <w:p>
            <w:pPr>
              <w:pStyle w:val="Normal"/>
              <w:bidi w:val="0"/>
              <w:jc w:val="left"/>
              <w:rPr/>
            </w:pPr>
            <w:r>
              <w:rPr/>
            </w:r>
          </w:p>
        </w:tc>
        <w:tc>
          <w:tcPr>
            <w:tcW w:w="5538" w:type="dxa"/>
            <w:vMerge w:val="continue"/>
            <w:tcBorders/>
            <w:tcMar>
              <w:top w:w="0" w:type="dxa"/>
              <w:left w:w="0" w:type="dxa"/>
              <w:bottom w:w="0" w:type="dxa"/>
              <w:right w:w="0" w:type="dxa"/>
            </w:tcMar>
            <w:vAlign w:val="center"/>
          </w:tcPr>
          <w:p>
            <w:pPr>
              <w:pStyle w:val="Normal"/>
              <w:bidi w:val="0"/>
              <w:jc w:val="left"/>
              <w:rPr/>
            </w:pPr>
            <w:r>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12.1</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2_1.htm">
              <w:r>
                <w:rPr>
                  <w:rStyle w:val="InternetLink"/>
                  <w:rFonts w:ascii="Times New Roman" w:hAnsi="Times New Roman"/>
                  <w:color w:val="0000FF"/>
                  <w:sz w:val="20"/>
                  <w:u w:val="single"/>
                </w:rPr>
                <w:t>Certification by Principal Executive Officer Pursuant to Section 302 of the Sarbanes-Oxley Act of 2002.</w:t>
              </w:r>
            </w:hyperlink>
            <w:hyperlink w:anchor="asnd-ex12_1.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12.2</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2_2.htm">
              <w:r>
                <w:rPr>
                  <w:rStyle w:val="InternetLink"/>
                  <w:rFonts w:ascii="Times New Roman" w:hAnsi="Times New Roman"/>
                  <w:color w:val="0000FF"/>
                  <w:sz w:val="20"/>
                  <w:u w:val="single"/>
                </w:rPr>
                <w:t>Certification by Principal Financial Officer Pursuant to Section 302 of the Sarbanes-Oxley Act of 2002.</w:t>
              </w:r>
            </w:hyperlink>
            <w:hyperlink w:anchor="asnd-ex12_2.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13.1</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3_1.htm">
              <w:r>
                <w:rPr>
                  <w:rStyle w:val="InternetLink"/>
                  <w:rFonts w:ascii="Times New Roman" w:hAnsi="Times New Roman"/>
                  <w:color w:val="0000FF"/>
                  <w:sz w:val="20"/>
                  <w:u w:val="single"/>
                </w:rPr>
                <w:t>Certification by Principal Executive Officer Pursuant to Section 906 of the Sarbanes-Oxley Act of 2002.</w:t>
              </w:r>
            </w:hyperlink>
            <w:hyperlink w:anchor="asnd-ex13_1.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13.2</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3_2.htm">
              <w:r>
                <w:rPr>
                  <w:rStyle w:val="InternetLink"/>
                  <w:rFonts w:ascii="Times New Roman" w:hAnsi="Times New Roman"/>
                  <w:color w:val="0000FF"/>
                  <w:sz w:val="20"/>
                  <w:u w:val="single"/>
                </w:rPr>
                <w:t>Certification by Principal Financial Officer Pursuant to Section 906 of the Sarbanes-Oxley Act of 2002.</w:t>
              </w:r>
            </w:hyperlink>
            <w:hyperlink w:anchor="asnd-ex13_2.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15.1</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asnd-ex15_1.htm">
              <w:r>
                <w:rPr>
                  <w:rStyle w:val="InternetLink"/>
                  <w:rFonts w:ascii="Times New Roman" w:hAnsi="Times New Roman"/>
                  <w:color w:val="0000FF"/>
                  <w:sz w:val="20"/>
                  <w:u w:val="single"/>
                </w:rPr>
                <w:t>Consent of Independent Registered Public Accounting Firm.</w:t>
              </w:r>
            </w:hyperlink>
            <w:hyperlink w:anchor="asnd-ex15_1.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97.1</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r:id="rId58">
              <w:r>
                <w:rPr>
                  <w:rStyle w:val="InternetLink"/>
                  <w:rFonts w:ascii="Times New Roman" w:hAnsi="Times New Roman"/>
                  <w:color w:val="0000FF"/>
                  <w:sz w:val="20"/>
                  <w:u w:val="single"/>
                </w:rPr>
                <w:t>Ascendis Pharma A/S Policy for Recovery of Erroneously Awarded Compensation.</w:t>
              </w:r>
            </w:hyperlink>
            <w:hyperlink r:id="rId59">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8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001-36815</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EX-101.INS</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EX-101.SCH</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104</w:t>
            </w:r>
          </w:p>
        </w:tc>
        <w:tc>
          <w:tcPr>
            <w:tcW w:w="5538"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Confidential treatment has been granted for certain information contained in this Exhibit. Such information has been omitted and filed separately with the SEC.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Portions of this exhibit, marked by asterisks, have been omitted pursuant to Instruction 4(a) to Exhibits to Form 20-F because they are both (i) not material, and (ii) include information of the type that we treat as private or confidential.</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Registrant hereby certifies that it meets all of the requirements for filing on Form 20-F and that it has duly caused and authorized the undersigned to sign this annual report on its behalf. </w:t>
      </w:r>
    </w:p>
    <w:tbl>
      <w:tblPr>
        <w:tblW w:w="7367" w:type="dxa"/>
        <w:jc w:val="left"/>
        <w:tblInd w:w="0" w:type="dxa"/>
        <w:tblLayout w:type="fixed"/>
        <w:tblCellMar>
          <w:top w:w="28" w:type="dxa"/>
          <w:left w:w="28" w:type="dxa"/>
          <w:bottom w:w="28" w:type="dxa"/>
          <w:right w:w="28" w:type="dxa"/>
        </w:tblCellMar>
      </w:tblPr>
      <w:tblGrid>
        <w:gridCol w:w="421"/>
        <w:gridCol w:w="6946"/>
      </w:tblGrid>
      <w:tr>
        <w:trPr/>
        <w:tc>
          <w:tcPr>
            <w:tcW w:w="421"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A/S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 Møller Mikkelsen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Møller Mikkelsen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Board Member (Principal Executive Officer)</w:t>
            </w:r>
          </w:p>
        </w:tc>
      </w:tr>
      <w:tr>
        <w:trPr/>
        <w:tc>
          <w:tcPr>
            <w:tcW w:w="73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T.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T.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Officer (Principal Financial Officer)</w:t>
            </w:r>
          </w:p>
        </w:tc>
      </w:tr>
      <w:tr>
        <w:trPr/>
        <w:tc>
          <w:tcPr>
            <w:tcW w:w="73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asnd-ex2_3.htm"/>
      <w:bookmarkStart w:id="45" w:name="ksasndex2_3"/>
      <w:bookmarkEnd w:id="44"/>
      <w:bookmarkEnd w:id="45"/>
      <w:r>
        <w:rPr>
          <w:rFonts w:ascii="Times New Roman" w:hAnsi="Times New Roman"/>
          <w:b/>
          <w:color w:val="000000"/>
          <w:sz w:val="20"/>
        </w:rPr>
        <w:t>Exhibit 2.3</w:t>
      </w:r>
      <w:r>
        <w:br w:type="page"/>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SHARE CAPITAL</w:t>
      </w:r>
    </w:p>
    <w:p>
      <w:pPr>
        <w:pStyle w:val="TextBody"/>
        <w:bidi w:val="0"/>
        <w:spacing w:before="240" w:after="283"/>
        <w:jc w:val="left"/>
        <w:rPr>
          <w:rFonts w:ascii="Times New Roman" w:hAnsi="Times New Roman"/>
          <w:sz w:val="20"/>
        </w:rPr>
      </w:pPr>
      <w:r>
        <w:rPr>
          <w:rFonts w:ascii="Times New Roman" w:hAnsi="Times New Roman"/>
          <w:i/>
          <w:color w:val="000000"/>
          <w:sz w:val="20"/>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“Description of American Depositary Shares” below.</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company was incorporated on September 21, 2006 as a private limited liability company (in Danish: </w:t>
      </w:r>
      <w:r>
        <w:rPr>
          <w:rFonts w:ascii="Times New Roman" w:hAnsi="Times New Roman"/>
          <w:i/>
          <w:color w:val="000000"/>
          <w:sz w:val="20"/>
        </w:rPr>
        <w:t>Anpartsselskab</w:t>
      </w:r>
      <w:r>
        <w:rPr>
          <w:rFonts w:ascii="Times New Roman" w:hAnsi="Times New Roman"/>
          <w:color w:val="000000"/>
          <w:sz w:val="20"/>
        </w:rPr>
        <w:t xml:space="preserve">, or </w:t>
      </w:r>
      <w:r>
        <w:rPr>
          <w:rFonts w:ascii="Times New Roman" w:hAnsi="Times New Roman"/>
          <w:i/>
          <w:color w:val="000000"/>
          <w:sz w:val="20"/>
        </w:rPr>
        <w:t>ApS</w:t>
      </w:r>
      <w:r>
        <w:rPr>
          <w:rFonts w:ascii="Times New Roman" w:hAnsi="Times New Roman"/>
          <w:color w:val="000000"/>
          <w:sz w:val="20"/>
        </w:rPr>
        <w:t xml:space="preserve">) under Danish law and is registered with the Danish Business Authority (in Danish: </w:t>
      </w:r>
      <w:r>
        <w:rPr>
          <w:rFonts w:ascii="Times New Roman" w:hAnsi="Times New Roman"/>
          <w:i/>
          <w:color w:val="000000"/>
          <w:sz w:val="20"/>
        </w:rPr>
        <w:t>Erhvervsstyrelsen</w:t>
      </w:r>
      <w:r>
        <w:rPr>
          <w:rFonts w:ascii="Times New Roman" w:hAnsi="Times New Roman"/>
          <w:color w:val="000000"/>
          <w:sz w:val="20"/>
        </w:rPr>
        <w:t xml:space="preserve">) in Copenhagen, Denmark under registration number 29918791. On December 17, 2007, our company was converted into a public limited liability company (in Danish: </w:t>
      </w:r>
      <w:r>
        <w:rPr>
          <w:rFonts w:ascii="Times New Roman" w:hAnsi="Times New Roman"/>
          <w:i/>
          <w:color w:val="000000"/>
          <w:sz w:val="20"/>
        </w:rPr>
        <w:t>Aktieselskab</w:t>
      </w:r>
      <w:r>
        <w:rPr>
          <w:rFonts w:ascii="Times New Roman" w:hAnsi="Times New Roman"/>
          <w:color w:val="000000"/>
          <w:sz w:val="20"/>
        </w:rPr>
        <w:t xml:space="preserve">, or </w:t>
      </w:r>
      <w:r>
        <w:rPr>
          <w:rFonts w:ascii="Times New Roman" w:hAnsi="Times New Roman"/>
          <w:i/>
          <w:color w:val="000000"/>
          <w:sz w:val="20"/>
        </w:rPr>
        <w:t>A/S</w:t>
      </w:r>
      <w:r>
        <w:rPr>
          <w:rFonts w:ascii="Times New Roman" w:hAnsi="Times New Roman"/>
          <w:color w:val="000000"/>
          <w:sz w:val="20"/>
        </w:rPr>
        <w:t xml:space="preserve">). Our company’s headquarters and registered office is Tuborg Boulevard 12, DK-2900 Hellerup, Denmark.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Authorizations to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board of directors is authorized to increase the share capital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authorized to increase our share capital by up to nominal DKK 9,000,000 with pre-emptive subscription rights for existing shareholders. Capital increases according to this authorization shall be carried out by our board of directors by way of cash contributions. This authorization is valid until May 29, 2029.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authorized to increase our share capital by up to nominal DKK 3,825,000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as determined in accordance with Danish law. This authorization is valid until May 27, 2030.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authorized to issue 100,000 warrants to new members of the board of directors of the Company or its subsidiaries in connection with their first election and to increase our share capital by up to 100,000 shares without pre-emptive rights for existing shareholders in connection with the exercise, if any, of said warrants. The warrants issued shall be governed by the terms and conditions set out in appendix 1a to our articles of association. The exercise price for the warrants shall be determined by the board of directors in consultation with the Company’s advisors and shall at least be equal to the market price of the shares at the time of issuance as determined in accordance with Danish law. No single board member shall receive more than 10,000 warrants pursuant to the authorization. This authorization is valid until May 27, 2030.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authorized to obtain loans against issuance of convertible bonds which confer the right to subscribe for shares in the Company. The Company’s existing shareholders shall not have pre-emption rights to such shares. Our board of directors is authorized to increase the share capital by up to nominal DKK 9,000,000 by conversion of the convertible bonds. The convertible bonds shall be offered at a subscription price and a conversion price that correspond in aggregate to at least the market price of the shares at the time of the decision of our board of directors to issue the convertible bonds as determined in accordance with Danish law. The loans shall be paid in cash and our board of directors shall determine the terms and conditions for the convertible bonds. This authorization is valid until May 29,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authorized to issue 625,233 warrants to members of the executive management and employees, advisors and consultants of the Company or our subsidiaries and to increase our share capital by up to 625,233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authorized to issue 1,000,000 warrants to members of the executive management and employees, advisors and consultants of the Company or our subsidiaries and to increase our share capital by up to 1,000,000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board of directors exercises its authorizations in full, and all warrants and convertible debt instruments are exercised fully (not including already issued warrants and already issued convertible debt instruments), then our share capital will amount to 85,527,641 shares consisting of 85,527,641 shares with a nominal value of DKK 1 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ADSs are listed on The Nasdaq Global Select Market under the symbol “ASND.”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2025, our board of directors is authorized to issue 1,755,233 warrants in the period ending May 27, 2030. As of December 31, 2025, there were outstanding 5,222,591 warrants to subscribe for our ordinary shares and such warrants had a weighted-average exercise price of €103.24.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our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earlier vesting upon the occurrence of certain exit events, warrants granted under the program from December 2012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earlier vesting, upon the occurrence of certain exit events, for warrants granted under the program as in effect since December 9, 2021, the following vesting applies: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Vested warrants may be exercised during certain exercise periods each year. For outstanding warrants,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expire ten years after the grant date.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RSU and PSU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received authorization from stockholders during the period until May 27, 2026 to purchase up to 2,000,000 shares or ADSs representing a corresponding amount of shares in the company as treasury shares. In addition, our board of directors has received authorization from stockholders during the period until May 29, 2028 to purchase up to additional 1,000,000 shares or ADSs representing a corresponding amount of shares in the company as treasury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partially exercised this right and the company re-purchased 154,837 ADSs in November 2021, 1,000,000 ADSs in March 2022 and 119,148 ADSs in March 2025, representing a corresponding amount of shares in the company as treasury shares primarily for grants of Restricted Stock Units (“RSUs”) and/or Performance Stock Units (“PSUs”) in connection with the implementation of a Restricted Stock Units Program (“RSU Program”) and a Performance Stock Units program (“PSU Program”). Since 2022, 676,889 ADSs were transferred to holders under the Company’s RSU and PSU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RSU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may be granted to members of the senior management team, non-executive directors, and other employees (“RSU Participants”) employed with the company or another company within the company’s group. Our board of directors may also, at its sole discretion, decide to grant RSUs to consultants or members of our board of directors who are then also deemed RSU Participants.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RSU represents a right for the RSU Participant to receive one ADS upon vesting. ADSs underlying RSUs are deemed to be treasury shares that have been repurchased in the market and, upon vesting, the company may at its sole discretion choose to make a cash settlement instead of delivering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may, in its sole discretion, at any given point in time, decide to grant RSUs and may at its discretion and on an individual basis decide to deviate from the vesting principles and/or the vesting conditions as set forth in the RSU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are granted to the RSU Participant free of charge. It is a condition for vesting that the RSU Participant is still either employed or retained as consultant within the company or another company within the company’s group or serving as member of the board of directors on the vesting date. Subject to earlier vesting, upon the occurrence of certain exit events, for each award of RSUs, 1/3 of such RSUs will vest on each anniversary of the date of grant, subject to continued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our board of directors granted an aggregate of (i) 15,520 RSUs to certain non-employee board members of the company, (ii) 122,915 RSUs to certain members of senior management of the company, and (iii) 496,154 RSUs to certain other employees of the company under the terms of the RSU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PSU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may be granted to members of the senior management team, non-executive directors and other employees (“PSU Participants”) employed with the company or another company within the company’s group. Our board of directors may also at its sole discretion decide to grant PSUs to consultants or members of our board of directors, who are then also deemed PSU Participants.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PSU represents a right for the PSU Participant to receive one ADS upon vesting. ADSs underlying PSUs are deemed to be treasury shares that have been repurchased in the market and, upon vesting, the company may at its sole discretion choose to make a cash settlement instead of delivering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may, in its sole discretion, at any given point in time, decide to grant PSUs and may at its discretion and on an individual basis decide to deviate from the vesting principles and/or the vesting conditions as set forth in the company’s PSU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PSUs are granted to the PSU Participant free of charge. It is a condition for vesting that the PSU Participant is still either employed or retained as consultant within the company or another company within the company’s group or serving as member of the board of directors on the vesting date. Subject to earlier vesting, upon the occurrence of certain exit events, for each award of PSUs 1/3 of such PSUs will vest on each anniversary of the date of grant, subject to continued service and subject to the fulfillment of the performance conditions as determined by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PSUs and any rights or payments in respect thereto will be subject to recoupment by the company to the extent required to comply with applicable law or any policy of the company providing for the reimbursement of incentive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2025, our board of directors granted an aggregate of 73,583 PSUs to certain members of senior management of the company under the terms of the PSU Program.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2015 Registration Rights Agreement, we were required to timely register with the Securities and Exchange Commission 1.0 million ordinary shares underlying 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Expenses of registration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2015 Registration Rights Agreement, we agreed to pay certain registration expenses of the holders of the shares registered pursuant to the registration rights described above, excluding, among other things, the expenses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counsel for Fidelity Securities Fund: Fidelity Series Small Cap Opportunities Fund—Healthcare Sub and Fidelity Stock Selector Small Cap Fund—Health Care Sub.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Expiration of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Owners’ register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obligated to maintain an owners’ register (in Danish: </w:t>
      </w:r>
      <w:r>
        <w:rPr>
          <w:rFonts w:ascii="Times New Roman" w:hAnsi="Times New Roman"/>
          <w:i/>
          <w:color w:val="000000"/>
          <w:sz w:val="20"/>
        </w:rPr>
        <w:t>ejerbog</w:t>
      </w:r>
      <w:r>
        <w:rPr>
          <w:rFonts w:ascii="Times New Roman" w:hAnsi="Times New Roman"/>
          <w:color w:val="000000"/>
          <w:sz w:val="20"/>
        </w:rPr>
        <w:t>). The owners’ register is maintained by Computershare A/S (Company Registration (CVR) no. 27088899), our Danish share registrar. It is mandatory that the owners’ register is maintained within the European Union and that it is available to public authorities. 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Articles of association and Danish corporate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articles of association, the following should be emphasized: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Objects clause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provisions regarding the board of directors and the executive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articles of association, our board of directors shall be elected by our shareholders at the general meeting and shall be composed of not less than three and no more than 10 members. The members of the board of directors are elected for a term expiring at the first coming annual general meeting following their election. Board members must retire from the board of directors at the annual general meeting following their 75th birthday. Board members are not required to own any shares of our share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shall appoint and employ an executive board consisting of one to five members to attend to our day-to-day management, and the board of directors shall determine the terms and conditions of the employment.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pStyle w:val="TextBody"/>
        <w:bidi w:val="0"/>
        <w:spacing w:before="240" w:after="283"/>
        <w:jc w:val="left"/>
        <w:rPr>
          <w:rFonts w:ascii="Times New Roman" w:hAnsi="Times New Roman"/>
          <w:sz w:val="20"/>
        </w:rPr>
      </w:pPr>
      <w:r>
        <w:rPr>
          <w:rFonts w:ascii="Times New Roman" w:hAnsi="Times New Roman"/>
          <w:color w:val="000000"/>
          <w:sz w:val="20"/>
        </w:rPr>
        <w:t>See the section titled “</w:t>
      </w:r>
      <w:r>
        <w:rPr>
          <w:rFonts w:ascii="Times New Roman" w:hAnsi="Times New Roman"/>
          <w:i/>
          <w:color w:val="000000"/>
          <w:sz w:val="20"/>
        </w:rPr>
        <w:t>Item 10 E. Additional Information—Taxation</w:t>
      </w:r>
      <w:r>
        <w:rPr>
          <w:rFonts w:ascii="Times New Roman" w:hAnsi="Times New Roman"/>
          <w:color w:val="000000"/>
          <w:sz w:val="20"/>
        </w:rPr>
        <w:t>” in our Annual Report on Form 20-F for a summary of certain tax consequences in respect of dividends or distributions to holders of our ordinary shares or the ADSs.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Pre-emptive subscription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may resolve to increase our share capital without pre-emptive subscription rights for existing shareholders pursuant to the authorizations set forth above under the caption “Authorizations to our board of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future issuances of new shares and/or pre-emptive rights are registered under the Securities Act or with any authority outside Denmark, U.S. shareholders and shareholders in jurisdictions outside Denmark may be unable to exercise their pre-emptive subscription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Rights on 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 liquidation or winding-up of our company, shareholders will be entitled to participate, in proportion to their respective shareholdings, in any surplus assets remaining after payment of our creditors.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holding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limitations on the right to hold shares under the articles of association or Danish law.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Liability to capital calls by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articles of association as well as the Danish Companies Act, our shareholders are not obligated to pay further amounts to us. All our shares are fully paid.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Sinking fund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sinking fund provisions or similar obligations relating to our ordinary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CPR number or CVR number, such notice must be accompanied by other documentation securing unambiguous identification of the shareholder. The notice must also include information on the denomination or nominal value of the shares and the voting rights attaching to the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legal status of the notification obligations is not fully clarified in relation to ADS holders and an ADS holder may be subject to such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general meeting of shareholders is the highest authority in all matters, subject to the limitations provided by Danish law and the articles of association. The annual general meeting shall be held in the Greater Copenhagen area not later than the end of May in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latest, two weeks before a general meeting (inclusive of the day of the general meeting), we shall make the following information and documents available on our webpage: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convening notice,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that shall be presented at the general meeting, which will, in the case of the annual general meeting, include the annual report,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agenda and the complete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ADSs are not entitled to directly receive notices or other materials or to attend or vote at general meetings.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Resolutions in general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Quorum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Squeeze out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Danish rules intended to prevent market abuse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abandoned our previous practice.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 on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Danish law, members of the board of directors or senior management may be held liable for damages in the event that loss is caused due to their negligence. They may be held jointly and severally liable for damages to the company, the shareholders and to third parties for acting in violation of the articles of association and Danish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have entered into agreements with our board members and members of our senior management, pursuant to which, subject to limited exceptions, we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such indemnification, we provide our board members and senior management with directors’ and officers’ liability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Comparison of Danish corporate law and our articles of association and Delaware corporate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comparison between Danish corporate law, which applies to us, and Delaware corporate law, the law under which many publicly traded companies in the United States are incorporated, discusses additional matters not otherwise described in our Annual Report on Form 20-F.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Duties of board members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Public limited liability companies in Denmark are usually subject to a two-tier governance structure with the board of directors having the 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Terms of the members of our board of directors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the members of the board of directors of a limited liability company are generally appointed for an individual term of one year. There is no limit on the number of consecutive terms the board members may serve. Pursuant to our articles of association, our board members are appointed by the general meeting of shareholders for a term of one year. Election of board members is, according to our articles of association, an item that shall be included on the agenda for the annual general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general meeting, shareholders are entitled at all times to dismiss a board member by a simple majority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of whether they participate in the vote) vote in favor of having representation, we must organize an election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The Delaware General Corporation Law generally provides for a one-year term for directors, but permits directorships to be divided into up 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Board member vacancies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in the event of a vacancy, new board members are elected by the shareholders in a general meeting. Thus, a general meeting 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The Delaware General Corporation Law provides that vacancies and newly created directorships may be filled by a majority of the directors 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Conflict-of-interest transactions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board members may not take part in any matter or decision-making that involves a subject or transaction in relation to which the board member has a conflict of interest with us.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The Delaware General Corporation Law generally permits transactions involving a Delaware corporation and an interested director of that corporation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facts as to the director’s relationship or interest are disclosed and a majority of disinterested directors’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facts are disclosed as to the director’s relationship or interest and a majority of shares entitled to vote thereon consent;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fair to the corporation at the time it is authorized by the board of directors, a committee of the board of directors or the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Proxy voting by board members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In the event that a board member in a Danish limited liability company is unable to participate in a board meeting, the elected alternate, if any, 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A director of a Delaware corporation may not issue a proxy representing the director’s voting rights as a director.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Shareholder rights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Notice of meeting</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According to the Danish Companies Act, general meetings in limited liability companies shall be convened by the board of directors with a 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Each ordinary share confers the right to cast one vote at the general meeting of shareholders, unless the articles of association provide otherwise. Each holder of ordinary shares may cast as many votes as it holds shares. Shares that are held by the company or its subsidiaries do not confer the right to vote.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Shareholder proposals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According to the Danish Companies Act, extraordinary general meetings of shareholders will be held whenever the board of directors or the 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Delaware law does not specifically grant stockholders the right to bring business before an annual or special meeting of stockholders. 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Action by written consent</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it is permissible for shareholders to take action and pass resolutions by written consent in the event of unanimity; however, this will normally not be the case in listed companies and for a listed company, this method of adopting resolutions is generally not feasible.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Although permitted by Delaware law, publicly listed companies do not typically permit stockholders of a corporation to take action by written consent.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Appraisal rights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The concept of appraisal rights does not exist under Danish law, except in connection with statutory redemptions rights according to the Danish Companies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or cross-border conversion are, according to Sections 286, 306 and 318 m of the Danish Companies Act, entitled to have their shares redeemed.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The Delaware General Corporation Law provides for stockholder appraisal rights, or the right to demand payment in cash of the judicially determined fair value of the stockholder’s shares, in connection with certain mergers and consolidations.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Shareholder suits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only a company itself can bring a civil action against a third party; an individual shareholder does not have the right to 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Repurchase of shares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Danish limited liability companies may not subscribe for newly issued shares in their own capital. Such company may, however, according to 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a corporation may purchase or redeem 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Anti-takeover provisions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it is possible to implement limited protective anti-takeover measures. Such provisions may include, among other things, (i) different share classes with different voting rights, (ii) specific requirements to register the shares named in the company’s owners register and (iii) notification requirements concerning participation in general meetings. We have currently not adopted any such provisions.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xml:space="preserve">. In addition to other aspects of Delaware law governing fiduciary duties of directors 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that will cause the person to become an interested stockholder is approved by the board of directors of the target prior to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person becomes an interested stockholder, the business combination is approved by the board of directors of the corporation and holders of at least 66.67% of the outstanding voting stock, excluding shares held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Inspection of books and records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According to Section 150 of the Danish Companies Act, a shareholder may request an inspection of the company’s books regarding specific 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any stockholder may inspect certain of the corporation’s books and records, for any proper purpose, during the corporation’s usual hours of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Pre-emptive rights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all shareholders have pre-emptive subscription rights in connection with capital increases that are carried out as cash 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 Unless future issuances of new shares are registered under the Securities Act or with any authority outside Denmark, U.S. shareholders and shareholders in jurisdictions outside Denmark may be unable to exercise their pre-emptive subscription rights.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the distribution of ordinary and extraordinary dividends requires the approval of a company’s shareholders at a company’s 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resolution to distribute extraordinary dividends is passed more than six months after the balance sheet date as set out in the company's latest approved annual report an interim balance sheet showing that sufficient funds are available for distribution must always be prepared.</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Shareholder vote on certain reorganizations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Under Danish law, all amendments to the articles of association shall be approved by the general meeting of shareholders with a minimum of 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Amendments to governing documents</w:t>
      </w:r>
    </w:p>
    <w:p>
      <w:pPr>
        <w:pStyle w:val="TextBody"/>
        <w:bidi w:val="0"/>
        <w:spacing w:before="120" w:after="283"/>
        <w:jc w:val="left"/>
        <w:rPr>
          <w:rFonts w:ascii="Times New Roman" w:hAnsi="Times New Roman"/>
          <w:sz w:val="20"/>
        </w:rPr>
      </w:pPr>
      <w:r>
        <w:rPr>
          <w:rFonts w:ascii="Times New Roman" w:hAnsi="Times New Roman"/>
          <w:i/>
          <w:color w:val="000000"/>
          <w:sz w:val="20"/>
        </w:rPr>
        <w:t>Denmark</w:t>
      </w:r>
      <w:r>
        <w:rPr>
          <w:rFonts w:ascii="Times New Roman" w:hAnsi="Times New Roman"/>
          <w:color w:val="000000"/>
          <w:sz w:val="20"/>
        </w:rPr>
        <w:t xml:space="preserve">. All resolutions made by the general meeting may be adopted by a simple majority of the votes, subject only to the mandatory provisions of 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 </w:t>
      </w:r>
    </w:p>
    <w:p>
      <w:pPr>
        <w:pStyle w:val="TextBody"/>
        <w:bidi w:val="0"/>
        <w:spacing w:before="240" w:after="283"/>
        <w:jc w:val="left"/>
        <w:rPr>
          <w:rFonts w:ascii="Times New Roman" w:hAnsi="Times New Roman"/>
          <w:sz w:val="20"/>
        </w:rPr>
      </w:pPr>
      <w:r>
        <w:rPr>
          <w:rFonts w:ascii="Times New Roman" w:hAnsi="Times New Roman"/>
          <w:i/>
          <w:color w:val="000000"/>
          <w:sz w:val="20"/>
        </w:rPr>
        <w:t>Delaware</w:t>
      </w:r>
      <w:r>
        <w:rPr>
          <w:rFonts w:ascii="Times New Roman" w:hAnsi="Times New Roman"/>
          <w:color w:val="000000"/>
          <w:sz w:val="20"/>
        </w:rPr>
        <w:t>. Under the Delaware General Corporation Law, a corporation’s certificate of incorporation may be amended only if adopted and declared advisable by the board of directors and approved by a majority of the outstanding shares entitled to vote (subject to limited exceptions), and the bylaws may be amended with the approval of a majority of the outstanding shares entitled to vote and may, if so provided in the certificate of incorporation, also be amended by the board of directors.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DESCRIPTION OF AMERICAN DEPOSITARY SHARES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Depositary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for the ADSs is The Bank of New York Mellon. The Bank of New York Mellon’s depositary office and its principal executive office are located at 240 Greenwich Street, New York, New York 10286.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American Depositary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Bank of New York Mellon, as depositary, registers and delivers the ADSs. Each ADS represents one ordinary share (or a right to receive one ordinary share) deposited with The Bank of New York Mellon, acting through an office located in the United Kingdom, or any successor, as custodian for the depositary. Each ADS also represents any other securities, cash or other property which may be held by the depositary in respect of the depositary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material provisions of the deposit agreement. For more complete information, you should read the entire deposit agreement and the form of ADS. For directions on how to obtain copies of those documents, see the section titled “Item 19—Exhibits” in our Annual Report on Form 20-F.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will you receive dividends and other distributions on the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 </w:t>
      </w:r>
    </w:p>
    <w:p>
      <w:pPr>
        <w:pStyle w:val="TextBody"/>
        <w:bidi w:val="0"/>
        <w:spacing w:before="240" w:after="283"/>
        <w:jc w:val="left"/>
        <w:rPr>
          <w:rFonts w:ascii="Times New Roman" w:hAnsi="Times New Roman"/>
          <w:sz w:val="20"/>
        </w:rPr>
      </w:pPr>
      <w:r>
        <w:rPr>
          <w:rFonts w:ascii="Times New Roman" w:hAnsi="Times New Roman"/>
          <w:i/>
          <w:color w:val="000000"/>
          <w:sz w:val="20"/>
        </w:rPr>
        <w:t>Cash</w:t>
      </w:r>
      <w:r>
        <w:rPr>
          <w:rFonts w:ascii="Times New Roman" w:hAnsi="Times New Roman"/>
          <w:color w:val="000000"/>
          <w:sz w:val="20"/>
        </w:rPr>
        <w:t>. We do not expect to declare or pay any cash dividends or cash distributions on our ordinary shares for the foreseeable future. The depositary will 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Times New Roman" w:hAnsi="Times New Roman"/>
          <w:i/>
          <w:color w:val="000000"/>
          <w:sz w:val="20"/>
        </w:rPr>
        <w:t>Item 10 E. Additional Information—Taxation</w:t>
      </w:r>
      <w:r>
        <w:rPr>
          <w:rFonts w:ascii="Times New Roman" w:hAnsi="Times New Roman"/>
          <w:color w:val="000000"/>
          <w:sz w:val="20"/>
        </w:rPr>
        <w:t xml:space="preserve">”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 </w:t>
      </w:r>
    </w:p>
    <w:p>
      <w:pPr>
        <w:pStyle w:val="TextBody"/>
        <w:bidi w:val="0"/>
        <w:spacing w:before="240" w:after="283"/>
        <w:jc w:val="left"/>
        <w:rPr>
          <w:rFonts w:ascii="Times New Roman" w:hAnsi="Times New Roman"/>
          <w:sz w:val="20"/>
        </w:rPr>
      </w:pPr>
      <w:r>
        <w:rPr>
          <w:rFonts w:ascii="Times New Roman" w:hAnsi="Times New Roman"/>
          <w:i/>
          <w:color w:val="000000"/>
          <w:sz w:val="20"/>
        </w:rPr>
        <w:t>Ordinary Shares</w:t>
      </w:r>
      <w:r>
        <w:rPr>
          <w:rFonts w:ascii="Times New Roman" w:hAnsi="Times New Roman"/>
          <w:color w:val="000000"/>
          <w:sz w:val="20"/>
        </w:rPr>
        <w:t xml:space="preserve">. The depositary may distribute additional ADSs representing any ordinary shares we distribute as a dividend or free distribution to the 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 </w:t>
      </w:r>
    </w:p>
    <w:p>
      <w:pPr>
        <w:pStyle w:val="TextBody"/>
        <w:bidi w:val="0"/>
        <w:spacing w:before="240" w:after="283"/>
        <w:jc w:val="left"/>
        <w:rPr>
          <w:rFonts w:ascii="Times New Roman" w:hAnsi="Times New Roman"/>
          <w:sz w:val="20"/>
        </w:rPr>
      </w:pPr>
      <w:r>
        <w:rPr>
          <w:rFonts w:ascii="Times New Roman" w:hAnsi="Times New Roman"/>
          <w:i/>
          <w:color w:val="000000"/>
          <w:sz w:val="20"/>
        </w:rPr>
        <w:t>Elective Distributions in Cash or Shares</w:t>
      </w:r>
      <w:r>
        <w:rPr>
          <w:rFonts w:ascii="Times New Roman" w:hAnsi="Times New Roman"/>
          <w:color w:val="000000"/>
          <w:sz w:val="20"/>
        </w:rPr>
        <w:t xml:space="preserve">. If we offer holders of our ordinary shares the option to receive dividends in either cash or shares, the depositary, 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Rights to Purchase Additional Ordinary Shares</w:t>
      </w:r>
      <w:r>
        <w:rPr>
          <w:rFonts w:ascii="Times New Roman" w:hAnsi="Times New Roman"/>
          <w:color w:val="000000"/>
          <w:sz w:val="20"/>
        </w:rPr>
        <w:t xml:space="preserve">. If we offer holders of our securities any rights to subscribe for additional ordinary shares or any other rights, the depositary may make these rights available to ADS holders. If the depositary decides it is not legal and practical to make the rights available but that it is practical to sell the rights, the depositary will use reasonable efforts to sell the rights and distribute the net proceeds in the same way as it does with cash distributions. The depositary will allow rights that are not distributed or sold to lapse. In that case, you will receive no value for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 </w:t>
      </w:r>
    </w:p>
    <w:p>
      <w:pPr>
        <w:pStyle w:val="TextBody"/>
        <w:bidi w:val="0"/>
        <w:spacing w:before="240" w:after="283"/>
        <w:jc w:val="left"/>
        <w:rPr>
          <w:rFonts w:ascii="Times New Roman" w:hAnsi="Times New Roman"/>
          <w:sz w:val="20"/>
        </w:rPr>
      </w:pPr>
      <w:r>
        <w:rPr>
          <w:rFonts w:ascii="Times New Roman" w:hAnsi="Times New Roman"/>
          <w:i/>
          <w:color w:val="000000"/>
          <w:sz w:val="20"/>
        </w:rPr>
        <w:t>Other Distributions</w:t>
      </w:r>
      <w:r>
        <w:rPr>
          <w:rFonts w:ascii="Times New Roman" w:hAnsi="Times New Roman"/>
          <w:color w:val="000000"/>
          <w:sz w:val="20"/>
        </w:rPr>
        <w:t xml:space="preserve">. The depositary will send to you anything else we distribute to holders of deposited securities by any means it determines is equitable and practicable. If it cannot make the distribution proportionally among the owners, the depositary may adopt another equitable and practical method. It may decide to sell what we distributed and distribute the net proceeds, in the same way as it does with cash. Alternatively, it may decide to hold what we distributed, in which case ADSs will also represent the newly distributed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Deposit, Withdrawal and Cancellation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are ADSs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can ADS holders withdraw the deposited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can ADS holders interchange between certificated ADSs and uncertificated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do you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instruct the depositary to vote the number of whole deposited ordinary shares your ADSs represent. The depositary will notify you of shareholders’ meetings or other solicitations of consents and arrange to deliver our voting materials to you if we ask it to do so. Those materials will describe the matters to be voted on and explain how you may instruct the depositary how to vote. For instructions to be valid, they must reach the depositary by a date set by the depositary.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depositary will try, as far as practical, and subject to the laws of Denmark and our articles of association, to vote or to have its agents vote the ordinary shares or other deposited securities as instructed by ADS 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you will receive the voting materials in time to ensure that you can instruct the depositary to vote ordinary shares represented by your ADS.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ordinary shares represented by your ADSs are not voted as you requested.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 </w:t>
      </w:r>
    </w:p>
    <w:p>
      <w:pPr>
        <w:pStyle w:val="TextBody"/>
        <w:bidi w:val="0"/>
        <w:jc w:val="left"/>
        <w:rPr>
          <w:rFonts w:ascii="Times New Roman" w:hAnsi="Times New Roman"/>
          <w:color w:val="000000"/>
          <w:sz w:val="20"/>
        </w:rPr>
      </w:pPr>
      <w:r>
        <w:rPr>
          <w:rFonts w:ascii="Times New Roman" w:hAnsi="Times New Roman"/>
          <w:color w:val="000000"/>
          <w:sz w:val="20"/>
        </w:rPr>
        <w:t>Except as described above, you will not be able to exercise your right to vote unless you withdraw the ordinary shares. However, you may not know about the shareholder meeting far enough in advance to withdraw the ordinary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Fees and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What fees and expenses will you be responsible for paying?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deposit agreement, the holders of ADSs will be required to pay the following fees: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52"/>
        <w:gridCol w:w="5853"/>
      </w:tblGrid>
      <w:tr>
        <w:trPr/>
        <w:tc>
          <w:tcPr>
            <w:tcW w:w="4352" w:type="dxa"/>
            <w:tcBorders/>
            <w:vAlign w:val="center"/>
          </w:tcPr>
          <w:p>
            <w:pPr>
              <w:pStyle w:val="TableContents"/>
              <w:bidi w:val="0"/>
              <w:spacing w:before="0" w:after="283"/>
              <w:jc w:val="left"/>
              <w:rPr>
                <w:sz w:val="4"/>
                <w:szCs w:val="4"/>
              </w:rPr>
            </w:pPr>
            <w:r>
              <w:rPr>
                <w:sz w:val="4"/>
                <w:szCs w:val="4"/>
              </w:rPr>
            </w:r>
          </w:p>
        </w:tc>
        <w:tc>
          <w:tcPr>
            <w:tcW w:w="5853" w:type="dxa"/>
            <w:tcBorders/>
            <w:vAlign w:val="center"/>
          </w:tcPr>
          <w:p>
            <w:pPr>
              <w:pStyle w:val="TableContents"/>
              <w:bidi w:val="0"/>
              <w:spacing w:before="0" w:after="283"/>
              <w:jc w:val="left"/>
              <w:rPr>
                <w:sz w:val="4"/>
                <w:szCs w:val="4"/>
              </w:rPr>
            </w:pPr>
            <w:r>
              <w:rPr>
                <w:sz w:val="4"/>
                <w:szCs w:val="4"/>
              </w:rPr>
            </w:r>
          </w:p>
        </w:tc>
      </w:tr>
      <w:tr>
        <w:trPr/>
        <w:tc>
          <w:tcPr>
            <w:tcW w:w="435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Persons depositing or withdrawing ordinary shares or ADSs must pay:</w:t>
            </w:r>
          </w:p>
        </w:tc>
        <w:tc>
          <w:tcPr>
            <w:tcW w:w="585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For:</w:t>
            </w:r>
          </w:p>
        </w:tc>
      </w:tr>
      <w:tr>
        <w:trPr/>
        <w:tc>
          <w:tcPr>
            <w:tcW w:w="4352"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$5.00 (or less) per 100 ADSs (or portion of 100 ADSs)</w:t>
            </w:r>
          </w:p>
        </w:tc>
        <w:tc>
          <w:tcPr>
            <w:tcW w:w="5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Issue of ADSs, including issues resulting from a distribution of ordinary shares or rights or other property</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4192"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Cancellation of ADSs for the purpose of withdrawal, including if the deposit agreement terminates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$0.05 (or less) per ADS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Any cash distribution to you</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A fee equivalent to the fee that would be payable if securities distributed to you had been ordinary shares and the shares had been deposited for issue of ADSs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Distribution of securities distributed to holders of deposited securities which are distributed by the depositary to you</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$0.05 (or less) per ADS per calendar year</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color w:val="000000"/>
              </w:rPr>
            </w:pPr>
            <w:r>
              <w:rPr>
                <w:color w:val="000000"/>
              </w:rPr>
              <w:t> </w:t>
            </w:r>
            <w:r>
              <w:rPr>
                <w:rFonts w:ascii="Times New Roman" w:hAnsi="Times New Roman"/>
                <w:color w:val="000000"/>
                <w:sz w:val="20"/>
              </w:rPr>
              <w:t>Depositary services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Registration or transfer fees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Transfer and registration of ordinary shares on our share register to or from the name of the depositary or its agent when you deposit or withdraw shares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Expenses of the depositary</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Cable (including SWIFT), telex and facsimile transmissions (when expressly provided in the deposit agreement)</w:t>
            </w:r>
          </w:p>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Converting foreign currency to U.S. dollars</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Taxes and other governmental charges the depositary or the custodian have to pay on any ADS or share underlying an ADS, for example, share transfer taxes, stamp duty or withholding taxes</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color w:val="000000"/>
              </w:rPr>
            </w:pPr>
            <w:r>
              <w:rPr>
                <w:color w:val="000000"/>
              </w:rPr>
              <w:t> </w:t>
            </w:r>
            <w:r>
              <w:rPr>
                <w:rFonts w:ascii="Times New Roman" w:hAnsi="Times New Roman"/>
                <w:color w:val="000000"/>
                <w:sz w:val="20"/>
              </w:rPr>
              <w:t>As necessary</w:t>
            </w:r>
          </w:p>
        </w:tc>
      </w:tr>
      <w:tr>
        <w:trPr/>
        <w:tc>
          <w:tcPr>
            <w:tcW w:w="6013"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color w:val="000000"/>
                <w:sz w:val="20"/>
              </w:rPr>
            </w:pPr>
            <w:r>
              <w:rPr>
                <w:rFonts w:ascii="Times New Roman" w:hAnsi="Times New Roman"/>
                <w:color w:val="000000"/>
                <w:sz w:val="20"/>
              </w:rPr>
              <w:t xml:space="preserve">Any charges incurred by the depositary or its agents for servicing the deposited securities </w:t>
            </w:r>
          </w:p>
        </w:tc>
        <w:tc>
          <w:tcPr>
            <w:tcW w:w="419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As necessary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Payment of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Reclassifications, Recapitalizations and Mergers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57"/>
        <w:gridCol w:w="7748"/>
      </w:tblGrid>
      <w:tr>
        <w:trPr/>
        <w:tc>
          <w:tcPr>
            <w:tcW w:w="2457" w:type="dxa"/>
            <w:tcBorders/>
            <w:vAlign w:val="center"/>
          </w:tcPr>
          <w:p>
            <w:pPr>
              <w:pStyle w:val="TableContents"/>
              <w:bidi w:val="0"/>
              <w:spacing w:before="0" w:after="283"/>
              <w:jc w:val="left"/>
              <w:rPr>
                <w:sz w:val="4"/>
                <w:szCs w:val="4"/>
              </w:rPr>
            </w:pPr>
            <w:r>
              <w:rPr>
                <w:sz w:val="4"/>
                <w:szCs w:val="4"/>
              </w:rPr>
            </w:r>
          </w:p>
        </w:tc>
        <w:tc>
          <w:tcPr>
            <w:tcW w:w="7748" w:type="dxa"/>
            <w:tcBorders/>
            <w:vAlign w:val="center"/>
          </w:tcPr>
          <w:p>
            <w:pPr>
              <w:pStyle w:val="TableContents"/>
              <w:bidi w:val="0"/>
              <w:spacing w:before="0" w:after="283"/>
              <w:jc w:val="left"/>
              <w:rPr>
                <w:sz w:val="4"/>
                <w:szCs w:val="4"/>
              </w:rPr>
            </w:pPr>
            <w:r>
              <w:rPr>
                <w:sz w:val="4"/>
                <w:szCs w:val="4"/>
              </w:rPr>
            </w:r>
          </w:p>
        </w:tc>
      </w:tr>
      <w:tr>
        <w:trPr/>
        <w:tc>
          <w:tcPr>
            <w:tcW w:w="24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If we:</w:t>
            </w:r>
          </w:p>
        </w:tc>
        <w:tc>
          <w:tcPr>
            <w:tcW w:w="7748" w:type="dxa"/>
            <w:tcBorders/>
            <w:tcMar>
              <w:top w:w="0" w:type="dxa"/>
              <w:left w:w="0" w:type="dxa"/>
              <w:bottom w:w="0" w:type="dxa"/>
              <w:right w:w="0" w:type="dxa"/>
            </w:tcMar>
            <w:vAlign w:val="center"/>
          </w:tcPr>
          <w:p>
            <w:pPr>
              <w:pStyle w:val="TableContents"/>
              <w:bidi w:val="0"/>
              <w:spacing w:before="0" w:after="283"/>
              <w:ind w:left="0" w:right="0" w:firstLine="979"/>
              <w:jc w:val="both"/>
              <w:rPr>
                <w:rFonts w:ascii="Times New Roman" w:hAnsi="Times New Roman"/>
                <w:b/>
                <w:i/>
                <w:color w:val="000000"/>
                <w:sz w:val="20"/>
              </w:rPr>
            </w:pPr>
            <w:r>
              <w:rPr>
                <w:rFonts w:ascii="Times New Roman" w:hAnsi="Times New Roman"/>
                <w:b/>
                <w:i/>
                <w:color w:val="000000"/>
                <w:sz w:val="20"/>
              </w:rPr>
              <w:t>Then:</w:t>
            </w:r>
          </w:p>
        </w:tc>
      </w:tr>
      <w:tr>
        <w:trPr/>
        <w:tc>
          <w:tcPr>
            <w:tcW w:w="245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Change the nominal or par value of our ordinary shares</w:t>
            </w:r>
          </w:p>
        </w:tc>
        <w:tc>
          <w:tcPr>
            <w:tcW w:w="7748" w:type="dxa"/>
            <w:tcBorders/>
            <w:tcMar>
              <w:top w:w="0" w:type="dxa"/>
              <w:left w:w="0" w:type="dxa"/>
              <w:bottom w:w="0" w:type="dxa"/>
              <w:right w:w="0" w:type="dxa"/>
            </w:tcMar>
            <w:vAlign w:val="center"/>
          </w:tcPr>
          <w:p>
            <w:pPr>
              <w:pStyle w:val="TableContents"/>
              <w:bidi w:val="0"/>
              <w:spacing w:before="120" w:after="283"/>
              <w:ind w:left="0" w:right="0" w:firstLine="979"/>
              <w:jc w:val="left"/>
              <w:rPr>
                <w:rFonts w:ascii="Times New Roman" w:hAnsi="Times New Roman"/>
                <w:color w:val="000000"/>
                <w:sz w:val="20"/>
              </w:rPr>
            </w:pPr>
            <w:r>
              <w:rPr>
                <w:rFonts w:ascii="Times New Roman" w:hAnsi="Times New Roman"/>
                <w:color w:val="000000"/>
                <w:sz w:val="20"/>
              </w:rPr>
              <w:t>The cash, ordinary shares or other securities received by the depositary will become deposited securities.</w:t>
            </w:r>
          </w:p>
        </w:tc>
      </w:tr>
      <w:tr>
        <w:trPr/>
        <w:tc>
          <w:tcPr>
            <w:tcW w:w="245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Reclassify, split up or consolidate any of the deposited securities</w:t>
            </w:r>
          </w:p>
        </w:tc>
        <w:tc>
          <w:tcPr>
            <w:tcW w:w="7748"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Each ADS will automatically represent its equal share of the new deposited securities.</w:t>
            </w:r>
          </w:p>
        </w:tc>
      </w:tr>
      <w:tr>
        <w:trPr/>
        <w:tc>
          <w:tcPr>
            <w:tcW w:w="245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Distribute securities on the ordinary shares that are not distributed to you</w:t>
            </w:r>
          </w:p>
        </w:tc>
        <w:tc>
          <w:tcPr>
            <w:tcW w:w="7748"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tc>
      </w:tr>
      <w:tr>
        <w:trPr/>
        <w:tc>
          <w:tcPr>
            <w:tcW w:w="2457"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Recapitalize, reorganize, merge, liquidate, sell all or substantially all of our assets, or take any similar action</w:t>
            </w:r>
          </w:p>
        </w:tc>
        <w:tc>
          <w:tcPr>
            <w:tcW w:w="7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and Termination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may the deposit agreement be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How may the deposit agreement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Obligations and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Limits on our obligations and the obligations of the depositary; limits on liability to holders of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 agreement expressly limits our obligations and the obligations of the depositary. It also limits our liability and the liability of the depositary. We and the depositary: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only obligated to take the actions specifically set forth in the deposit agreement without negligence or bad faith;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if either of us is prevented or delayed by law or circumstances beyond our control from performing our obligations under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if either of us exercises, or fails to exercise, discretion permitted under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liable for the inability of any holder of ADSs to benefit from any distribution on deposited securities that is not made;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available to holders of ADSs under the terms of the deposit agreement, or for any special, consequential or punitive damages for any breach of the terms of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liable for any tax consequences to any holders of ADSs on account of their ownership of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no obligation to become involved in a lawsuit or other proceeding related to the ADSs or the deposit agreement on your behalf or on behalf of any other person;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rely upon any documents we believe in good faith to be genuine and to have been signed or presented by the proper person.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Requirements for Depositary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the depositary will deliver or register a transfer of an ADS, make a distribution on an ADS, or permit withdrawal of ordinary shares, the depositary may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share transfer or other taxes or other governmental charges and transfer or registration fees charged by third parties for the transfer of any ordinary shares or other deposited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proof of the identity and genuineness of any signature or other information it deems necessary;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regulations it may establish, from time to time, consistent with the deposit agreement, including presentation of transfer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may refuse to deliver ADSs or register transfers of ADSs generally when the transfer books of the depositary or our transfer books are closed or at any time if the depositary or we think it advisable to do so.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Your Right to Receive the Ordinary Shares Underlying Your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have the right to cancel their ADSs and withdraw the underlying ordinary shares at any time except: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you owe money to pay fees, taxes and similar charges;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it is necessary to prohibit withdrawals in order to comply with any laws or governmental regulations that apply to ADSs or to the withdrawal of ordinary shares or other deposited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right of withdrawal is not limited by any other provision of the deposit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 Registration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Shareholder Communications; Inspection of Register of Holders of ADSs; ADS Holder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6" w:name="asnd-ex4_5.htm"/>
      <w:bookmarkStart w:id="47" w:name="ksasndex4_5"/>
      <w:bookmarkEnd w:id="46"/>
      <w:bookmarkEnd w:id="47"/>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r>
        <w:br w:type="page"/>
      </w:r>
    </w:p>
    <w:p>
      <w:pPr>
        <w:pStyle w:val="TextBody"/>
        <w:bidi w:val="0"/>
        <w:spacing w:before="0" w:after="160"/>
        <w:jc w:val="center"/>
        <w:rPr>
          <w:rFonts w:ascii="Aptos;sans-serif" w:hAnsi="Aptos;sans-serif"/>
          <w:color w:val="000000"/>
          <w:sz w:val="22"/>
        </w:rPr>
      </w:pPr>
      <w:r>
        <w:rPr>
          <w:rFonts w:ascii="Aptos;sans-serif" w:hAnsi="Aptos;sans-serif"/>
          <w:color w:val="000000"/>
          <w:sz w:val="22"/>
        </w:rPr>
        <w:t>CERTAIN IDENTIFIED CONFIDENTIAL INFORMATION HAS BEEN REDACTED FROM THIS EXHIBIT BECAUSE IT IS (I) CUSTOMARILY AND ACTUALLY TREATED AS PRIVATE OR CONFIDENTIAL AND (II) NOT MATERIAL.</w:t>
      </w:r>
    </w:p>
    <w:p>
      <w:pPr>
        <w:pStyle w:val="TextBody"/>
        <w:bidi w:val="0"/>
        <w:spacing w:before="0" w:after="160"/>
        <w:jc w:val="center"/>
        <w:rPr/>
      </w:pPr>
      <w:r>
        <w:rPr/>
        <w:t> </w:t>
      </w:r>
    </w:p>
    <w:p>
      <w:pPr>
        <w:pStyle w:val="TextBody"/>
        <w:bidi w:val="0"/>
        <w:spacing w:before="0" w:after="160"/>
        <w:jc w:val="center"/>
        <w:rPr>
          <w:rFonts w:ascii="Aptos;sans-serif" w:hAnsi="Aptos;sans-serif"/>
          <w:color w:val="000000"/>
          <w:sz w:val="22"/>
        </w:rPr>
      </w:pPr>
      <w:r>
        <w:rPr>
          <w:rFonts w:ascii="Aptos;sans-serif" w:hAnsi="Aptos;sans-serif"/>
          <w:color w:val="000000"/>
          <w:sz w:val="22"/>
        </w:rPr>
        <w:t>CONFIDENTIAL PORTIONS OF THIS EXHIBIT ARE DESIGNATED BY [***].</w:t>
      </w:r>
    </w:p>
    <w:p>
      <w:pPr>
        <w:pStyle w:val="TextBody"/>
        <w:bidi w:val="0"/>
        <w:spacing w:before="0" w:after="160"/>
        <w:jc w:val="left"/>
        <w:rPr>
          <w:rFonts w:ascii="Times New Roman" w:hAnsi="Times New Roman"/>
          <w:sz w:val="20"/>
        </w:rPr>
      </w:pPr>
      <w:r>
        <w:rPr>
          <w:rFonts w:ascii="Aptos;sans-serif" w:hAnsi="Aptos;sans-serif"/>
          <w:color w:val="000000"/>
          <w:sz w:val="22"/>
        </w:rPr>
        <w:t>Lease no.: 11-486-1007-6</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COMMERCIAL LEASE CONTRACT</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LANDLORD:</w:t>
      </w:r>
      <w:r>
        <w:rPr>
          <w:rFonts w:ascii="Times New Roman" w:hAnsi="Times New Roman"/>
          <w:color w:val="000000"/>
          <w:sz w:val="20"/>
        </w:rPr>
        <w:t xml:space="preserve"> </w:t>
      </w:r>
      <w:r>
        <w:rPr>
          <w:rFonts w:ascii="Aptos;sans-serif" w:hAnsi="Aptos;sans-serif"/>
          <w:b/>
          <w:color w:val="000000"/>
          <w:sz w:val="22"/>
        </w:rPr>
        <w:t>Tuborg Havnevej I/S, CVR no.: 32 88 60 94</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TENANT:</w:t>
      </w:r>
      <w:r>
        <w:rPr>
          <w:rFonts w:ascii="Times New Roman" w:hAnsi="Times New Roman"/>
          <w:color w:val="000000"/>
          <w:sz w:val="20"/>
        </w:rPr>
        <w:t xml:space="preserve"> </w:t>
      </w:r>
      <w:r>
        <w:rPr>
          <w:rFonts w:ascii="Aptos;sans-serif" w:hAnsi="Aptos;sans-serif"/>
          <w:b/>
          <w:color w:val="000000"/>
          <w:sz w:val="22"/>
        </w:rPr>
        <w:t>Ascendis Pharma A/S, CVR no.: 29 91 87 91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THE PREMISES:</w:t>
      </w:r>
      <w:r>
        <w:rPr>
          <w:rFonts w:ascii="Times New Roman" w:hAnsi="Times New Roman"/>
          <w:color w:val="000000"/>
          <w:sz w:val="20"/>
        </w:rPr>
        <w:t xml:space="preserve"> </w:t>
      </w:r>
      <w:r>
        <w:rPr>
          <w:rFonts w:ascii="Aptos;sans-serif" w:hAnsi="Aptos;sans-serif"/>
          <w:b/>
          <w:color w:val="000000"/>
          <w:sz w:val="22"/>
        </w:rPr>
        <w:t>Tuborg Boulevard 12, 2900 Hellerup</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TABLE OF CONTENTS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Preamble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 The parties and the leased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 Application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3. Entry into force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 Termination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5. Relinquishment and reinstatement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6. Subletting</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7. Handover of the rented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 Annual benefits and deposit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 Consumption accounts (heat, water, etc.)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 Profit and loss account (operating and service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11. Other expenditure and types of expenditure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12. Taxes and fees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13. Shared facilities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14. Pristals/Percent Regulation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 Adjustment of rent to market rent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 Maintenance and renewals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17. House rules and use of outdoor and common areas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 Responsibility and risk</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19. Moving out and returning the rented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20. VAT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21. Disputes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22. Registration and costs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LEASE AGREEMENT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Preamble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Since 1 July 2018 and 1 January 2019, respectively, the tenant has been the tenant of several leases in the property located Tuborg Boulevard 12, 2900 Hellerup. As of 15 January and 1 April 2025, the Tenant took over additional leases in the property, after which the leased premises will constitute the Premises, as stated in § 1.2 below.</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This lease agreement thus covers the entire lease, although the lease may contain separate conditions that only concern either the original or new parts of the lease. In such cases, this will be specifically stated.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This lease agreement will enter into force on 1 July 2025, and replaces in its entirety the lease agreements previously entered into by the Tenant and the Landlord in the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The parties and the leased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1.1 Tuborg Havnevej I/S v/PKA Ejendomme, Dyregårdsvej 1, 2740 Skovlunde, (Landlord) hereby rents to</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Ascendis Pharma A/S Tuborg Boulevard 12</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2900 Hellerup</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CVR no.: 29 91 87 91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following premises at Tuborg Boulevard 12, st. leases 6, 7 and 8, entire 1st floor, 2nd floor leases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15, 16 and 18, the entire 4th floor and basement leases 1 and 2, 2900 Hellerup in the property Tuborg Boulevard 12, matr. no. 5ac, Hellerup:</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92"/>
        <w:gridCol w:w="1047"/>
        <w:gridCol w:w="1641"/>
        <w:gridCol w:w="2488"/>
        <w:gridCol w:w="2528"/>
        <w:gridCol w:w="809"/>
      </w:tblGrid>
      <w:tr>
        <w:trPr/>
        <w:tc>
          <w:tcPr>
            <w:tcW w:w="16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69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Lease</w:t>
            </w:r>
            <w:r>
              <w:rPr>
                <w:rFonts w:ascii="Times New Roman" w:hAnsi="Times New Roman"/>
                <w:color w:val="000000"/>
                <w:sz w:val="22"/>
              </w:rPr>
              <w:t xml:space="preserve"> </w:t>
            </w:r>
          </w:p>
        </w:tc>
        <w:tc>
          <w:tcPr>
            <w:tcW w:w="104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Office m²</w:t>
            </w:r>
            <w:r>
              <w:rPr>
                <w:rFonts w:ascii="Times New Roman" w:hAnsi="Times New Roman"/>
                <w:color w:val="000000"/>
                <w:sz w:val="22"/>
              </w:rPr>
              <w:t xml:space="preserve"> </w:t>
            </w:r>
          </w:p>
        </w:tc>
        <w:tc>
          <w:tcPr>
            <w:tcW w:w="164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Share of canteen</w:t>
            </w:r>
            <w:r>
              <w:rPr>
                <w:rFonts w:ascii="Times New Roman" w:hAnsi="Times New Roman"/>
                <w:color w:val="000000"/>
                <w:sz w:val="22"/>
              </w:rPr>
              <w:t xml:space="preserve"> </w:t>
            </w:r>
          </w:p>
        </w:tc>
        <w:tc>
          <w:tcPr>
            <w:tcW w:w="2488"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Share of common above ground</w:t>
            </w:r>
            <w:r>
              <w:rPr>
                <w:rFonts w:ascii="Times New Roman" w:hAnsi="Times New Roman"/>
                <w:color w:val="000000"/>
                <w:sz w:val="22"/>
              </w:rPr>
              <w:t xml:space="preserve"> </w:t>
            </w:r>
          </w:p>
        </w:tc>
        <w:tc>
          <w:tcPr>
            <w:tcW w:w="2528"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Share of common sub-terrain</w:t>
            </w:r>
            <w:r>
              <w:rPr>
                <w:rFonts w:ascii="Times New Roman" w:hAnsi="Times New Roman"/>
                <w:color w:val="000000"/>
                <w:sz w:val="22"/>
              </w:rPr>
              <w:t xml:space="preserve"> </w:t>
            </w:r>
          </w:p>
        </w:tc>
        <w:tc>
          <w:tcPr>
            <w:tcW w:w="80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Total</w:t>
            </w:r>
            <w:r>
              <w:rPr>
                <w:rFonts w:ascii="Times New Roman" w:hAnsi="Times New Roman"/>
                <w:color w:val="000000"/>
                <w:sz w:val="22"/>
              </w:rPr>
              <w:t xml:space="preserve"> </w:t>
            </w:r>
          </w:p>
        </w:tc>
      </w:tr>
      <w:tr>
        <w:trPr/>
        <w:tc>
          <w:tcPr>
            <w:tcW w:w="169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Basement Lease 1</w:t>
            </w:r>
            <w:r>
              <w:rPr>
                <w:rFonts w:ascii="Times New Roman" w:hAnsi="Times New Roman"/>
                <w:color w:val="000000"/>
                <w:sz w:val="22"/>
              </w:rPr>
              <w:t xml:space="preserve"> </w:t>
            </w:r>
          </w:p>
        </w:tc>
        <w:tc>
          <w:tcPr>
            <w:tcW w:w="104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16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2488"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2528"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8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6036" w:type="dxa"/>
        <w:jc w:val="left"/>
        <w:tblInd w:w="0" w:type="dxa"/>
        <w:tblLayout w:type="fixed"/>
        <w:tblCellMar>
          <w:top w:w="28" w:type="dxa"/>
          <w:left w:w="28" w:type="dxa"/>
          <w:bottom w:w="28" w:type="dxa"/>
          <w:right w:w="28" w:type="dxa"/>
        </w:tblCellMar>
      </w:tblPr>
      <w:tblGrid>
        <w:gridCol w:w="2611"/>
        <w:gridCol w:w="676"/>
        <w:gridCol w:w="676"/>
        <w:gridCol w:w="676"/>
        <w:gridCol w:w="676"/>
        <w:gridCol w:w="721"/>
      </w:tblGrid>
      <w:tr>
        <w:trPr/>
        <w:tc>
          <w:tcPr>
            <w:tcW w:w="26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61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Basement Lease 2</w:t>
            </w:r>
            <w:r>
              <w:rPr>
                <w:rFonts w:ascii="Times New Roman" w:hAnsi="Times New Roman"/>
                <w:color w:val="000000"/>
                <w:sz w:val="22"/>
              </w:rPr>
              <w:t xml:space="preserve"> </w:t>
            </w:r>
          </w:p>
        </w:tc>
        <w:tc>
          <w:tcPr>
            <w:tcW w:w="6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Stuen Lease 6</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Stuen Tenancy 7</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Stuen Lease 8</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1st floor Lease 10-14</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15</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16</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18</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4th floor Lease 23-26</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26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Total</w:t>
            </w:r>
            <w:r>
              <w:rPr>
                <w:rFonts w:ascii="Times New Roman" w:hAnsi="Times New Roman"/>
                <w:color w:val="000000"/>
                <w:sz w:val="22"/>
              </w:rPr>
              <w:t xml:space="preserve"> </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c>
          <w:tcPr>
            <w:tcW w:w="6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c>
          <w:tcPr>
            <w:tcW w:w="7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r>
    </w:tbl>
    <w:p>
      <w:pPr>
        <w:pStyle w:val="TextBody"/>
        <w:bidi w:val="0"/>
        <w:spacing w:before="0" w:after="160"/>
        <w:jc w:val="left"/>
        <w:rPr/>
      </w:pPr>
      <w:r>
        <w:rPr/>
        <w:t> </w:t>
      </w:r>
    </w:p>
    <w:tbl>
      <w:tblPr>
        <w:tblW w:w="10038" w:type="dxa"/>
        <w:jc w:val="left"/>
        <w:tblInd w:w="0" w:type="dxa"/>
        <w:tblLayout w:type="fixed"/>
        <w:tblCellMar>
          <w:top w:w="28" w:type="dxa"/>
          <w:left w:w="28" w:type="dxa"/>
          <w:bottom w:w="28" w:type="dxa"/>
          <w:right w:w="28" w:type="dxa"/>
        </w:tblCellMar>
      </w:tblPr>
      <w:tblGrid>
        <w:gridCol w:w="8566"/>
        <w:gridCol w:w="736"/>
        <w:gridCol w:w="736"/>
      </w:tblGrid>
      <w:tr>
        <w:trPr/>
        <w:tc>
          <w:tcPr>
            <w:tcW w:w="85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Parking spaces in the basement under the property Tuborg Boulevard 12</w:t>
            </w:r>
            <w:r>
              <w:rPr>
                <w:rFonts w:ascii="Times New Roman" w:hAnsi="Times New Roman"/>
                <w:color w:val="000000"/>
                <w:sz w:val="22"/>
              </w:rPr>
              <w:t xml:space="preserve"> </w:t>
            </w:r>
          </w:p>
        </w:tc>
        <w:tc>
          <w:tcPr>
            <w:tcW w:w="73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w:t>
            </w:r>
            <w:r>
              <w:rPr>
                <w:rFonts w:ascii="Times New Roman" w:hAnsi="Times New Roman"/>
                <w:color w:val="000000"/>
                <w:sz w:val="22"/>
              </w:rPr>
              <w:t xml:space="preserve"> </w:t>
            </w:r>
          </w:p>
        </w:tc>
        <w:tc>
          <w:tcPr>
            <w:tcW w:w="73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pcs.</w:t>
            </w:r>
            <w:r>
              <w:rPr>
                <w:rFonts w:ascii="Times New Roman" w:hAnsi="Times New Roman"/>
                <w:color w:val="000000"/>
                <w:sz w:val="22"/>
              </w:rPr>
              <w:t xml:space="preserve"> </w:t>
            </w:r>
          </w:p>
        </w:tc>
      </w:tr>
      <w:tr>
        <w:trPr/>
        <w:tc>
          <w:tcPr>
            <w:tcW w:w="856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Parking spaces in the basement under the property Tuborg Havnevej 15</w:t>
            </w:r>
            <w:r>
              <w:rPr>
                <w:rFonts w:ascii="Times New Roman" w:hAnsi="Times New Roman"/>
                <w:color w:val="000000"/>
                <w:sz w:val="22"/>
              </w:rPr>
              <w:t xml:space="preserve"> </w:t>
            </w:r>
          </w:p>
        </w:tc>
        <w:tc>
          <w:tcPr>
            <w:tcW w:w="73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w:t>
            </w:r>
            <w:r>
              <w:rPr>
                <w:rFonts w:ascii="Times New Roman" w:hAnsi="Times New Roman"/>
                <w:color w:val="000000"/>
                <w:sz w:val="22"/>
              </w:rPr>
              <w:t xml:space="preserve"> </w:t>
            </w:r>
          </w:p>
        </w:tc>
        <w:tc>
          <w:tcPr>
            <w:tcW w:w="73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pcs.</w:t>
            </w:r>
            <w:r>
              <w:rPr>
                <w:rFonts w:ascii="Times New Roman" w:hAnsi="Times New Roman"/>
                <w:color w:val="000000"/>
                <w:sz w:val="22"/>
              </w:rPr>
              <w:t xml:space="preserve"> </w:t>
            </w:r>
          </w:p>
        </w:tc>
      </w:tr>
      <w:tr>
        <w:trPr/>
        <w:tc>
          <w:tcPr>
            <w:tcW w:w="856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Parking spaces on terrain</w:t>
            </w:r>
            <w:r>
              <w:rPr>
                <w:rFonts w:ascii="Times New Roman" w:hAnsi="Times New Roman"/>
                <w:color w:val="000000"/>
                <w:sz w:val="22"/>
              </w:rPr>
              <w:t xml:space="preserve"> </w:t>
            </w:r>
          </w:p>
        </w:tc>
        <w:tc>
          <w:tcPr>
            <w:tcW w:w="736" w:type="dxa"/>
            <w:tcBorders>
              <w:bottom w:val="single" w:sz="6" w:space="0" w:color="000000"/>
            </w:tcBorders>
            <w:tcMar>
              <w:top w:w="0" w:type="dxa"/>
              <w:left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w:t>
            </w:r>
            <w:r>
              <w:rPr>
                <w:rFonts w:ascii="Times New Roman" w:hAnsi="Times New Roman"/>
                <w:color w:val="000000"/>
                <w:sz w:val="22"/>
              </w:rPr>
              <w:t xml:space="preserve"> </w:t>
            </w:r>
          </w:p>
        </w:tc>
        <w:tc>
          <w:tcPr>
            <w:tcW w:w="736" w:type="dxa"/>
            <w:tcBorders>
              <w:bottom w:val="single" w:sz="6" w:space="0" w:color="000000"/>
            </w:tcBorders>
            <w:tcMar>
              <w:top w:w="0" w:type="dxa"/>
              <w:left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pcs.</w:t>
            </w:r>
            <w:r>
              <w:rPr>
                <w:rFonts w:ascii="Times New Roman" w:hAnsi="Times New Roman"/>
                <w:color w:val="000000"/>
                <w:sz w:val="22"/>
              </w:rPr>
              <w:t xml:space="preserve"> </w:t>
            </w:r>
          </w:p>
        </w:tc>
      </w:tr>
      <w:tr>
        <w:trPr/>
        <w:tc>
          <w:tcPr>
            <w:tcW w:w="856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Parking spaces in total</w:t>
            </w:r>
            <w:r>
              <w:rPr>
                <w:rFonts w:ascii="Times New Roman" w:hAnsi="Times New Roman"/>
                <w:color w:val="000000"/>
                <w:sz w:val="22"/>
              </w:rPr>
              <w:t xml:space="preserve"> </w:t>
            </w:r>
          </w:p>
        </w:tc>
        <w:tc>
          <w:tcPr>
            <w:tcW w:w="736" w:type="dxa"/>
            <w:tcBorders>
              <w:bottom w:val="double" w:sz="6" w:space="0" w:color="000000"/>
            </w:tcBorders>
            <w:tcMar>
              <w:top w:w="0" w:type="dxa"/>
              <w:left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w:t>
            </w:r>
            <w:r>
              <w:rPr>
                <w:rFonts w:ascii="Times New Roman" w:hAnsi="Times New Roman"/>
                <w:color w:val="000000"/>
                <w:sz w:val="22"/>
              </w:rPr>
              <w:t xml:space="preserve"> </w:t>
            </w:r>
          </w:p>
        </w:tc>
        <w:tc>
          <w:tcPr>
            <w:tcW w:w="736" w:type="dxa"/>
            <w:tcBorders>
              <w:bottom w:val="double" w:sz="6" w:space="0" w:color="000000"/>
            </w:tcBorders>
            <w:tcMar>
              <w:top w:w="0" w:type="dxa"/>
              <w:left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pcs.</w:t>
            </w:r>
            <w:r>
              <w:rPr>
                <w:rFonts w:ascii="Times New Roman" w:hAnsi="Times New Roman"/>
                <w:color w:val="000000"/>
                <w:sz w:val="22"/>
              </w:rPr>
              <w:t xml:space="preserve"> </w:t>
            </w:r>
          </w:p>
        </w:tc>
      </w:tr>
    </w:tbl>
    <w:p>
      <w:pPr>
        <w:pStyle w:val="TextBody"/>
        <w:bidi w:val="0"/>
        <w:spacing w:before="0" w:after="160"/>
        <w:jc w:val="left"/>
        <w:rPr>
          <w:rFonts w:ascii="Times New Roman" w:hAnsi="Times New Roman"/>
          <w:sz w:val="20"/>
        </w:rPr>
      </w:pPr>
      <w:r>
        <w:rPr>
          <w:rFonts w:ascii="Aptos;sans-serif" w:hAnsi="Aptos;sans-serif"/>
          <w:color w:val="000000"/>
          <w:sz w:val="22"/>
        </w:rPr>
        <w:t>as shown in the drawing attached as Appendix 1 and with the extent inspected by the 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1.2 The leases 2, 7-8, 10-14, 15 and 18 are collectively referred to in this lease as the Original Areas.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leases 1, 6, 16, and 23-26 are collectively referred to in this lease as the New Areas.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§1.3 The calculation of the gross area is binding by the Landlord, and Land Ordinance No. 311 of 27 June 1983 does not apply, as long as it is not to the detriment of the 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§1.4 The parking spaces are assigned in more detail by the Landlord, and are currently located cf. Appendix 6 (drawing), but the Landlord can move around the parking spaces in the basement with 1 month's notice.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Application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2.1 The rented property must be used for office and administration and may not be used for any other purpose without the landlord's written consent. The lease may not be used for housing or night stays.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2.2 The landlord guarantees that the use of the leased property for the above-specified business at the time of entry into force does not conflict with the local plan or other public planning.</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2.3 The Landlord bears neither responsibility nor risk for the Tenant's specific use of the Tenancy. The tenant is therefore responsible for ensuring that the agreed use is not covered by special public regulations and is obliged to obtain and maintain all permits required with regard to the layout and operation of the leased premises, including regulations relating to environmental and fire conditions. The landlord must be informed of the regulatory requirements without undue delay and receive a copy of the necessary permits.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2.4 The tenant's use must not cause nuisance to odors, noise or light or in any other way be a nuisance to other tenants in the property or others. The tenant must ensure that their staff and others who have access to the rented property handle this responsibly.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2.5 Changes to the rented property may only be made with the written approval of the Landlord. The tenant has the right, according to the landlord's reasonably justified instructions, to carry out installations and alterations when the changes are made in order to meet requirements from a public authority regarding contractual use of the rented property. The Landlord may require the Tenant, before a change is made, to pay a reasonable deposit in the Landlord's discretion as security for the restoration obligation. However, such a deposit is not only a security deposit for the aforementioned expenses, but also a security for any outstanding balance between the Tenant and the Landlord.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2.6 The Renter is liable for any damage – including accidental damage – that is inflicted on the rented property or the property in general as a result of the Renter's installations, alterations or other disposal of the rented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2.7 The Landlord is entitled to rent out or use other premises in the property for the same industry and the same use as the Tenant's.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2.8 Signage, flags and other forms of advertising on and around the property as well as the establishment of awnings, sun shading and the like may only be carried out with the Landlord's prior written approval. The signage, etc., is established by the Tenant and at the Renter's expense, and it is the responsibility of the Tenant to meet all regulatory requirements and obtain regulatory approval.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2.9 All costs in connection with the above measures are paid by the Renter, who is obliged to obtain all regulatory approvals himself and ensure that any conditions for the approval are constantly met.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2.10 Upon moving out, the Tenant must, at his own expense, remove any traces of objects placed on the property in accordance with the above, including re-establishing facades, etc., unless the Landlord waives the requirement in writing.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b/>
          <w:color w:val="000000"/>
          <w:sz w:val="22"/>
        </w:rPr>
        <w:t>§ 3.</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Entry into force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3.1 The Lease Agreement enters into force on 1 July 2025, and replaces previously entered into agreements between the Tenant and the Landlord on this date.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3.2 When the Tenant's redevelopment of the Lease, cf. § 7.3, has been completed, which is expected to be in September 2025, a takeover transaction will be held for the New Areas, and the Landlord will prepare a move-in report including photos, which will be attached to the lease agreement as Appendix 3.2. The tenant notifies the landlord of the completion of the renovation and renovation, who then causes the parties to be summoned to a joint review of the lease with a view to preparing a move-in report.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4.</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Termination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4.1 The lease is non-terminable from the Landlord's side until 1 July 2040, after which it can be terminated with 12 months' notice to end and move out on the 1st of a quarter.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4.2 The lease is non-terminable from the Tenant's side until 1 July 2035, after which it can be terminated with 12 months' notice to end and move out on the 1st of a quarter.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4.3 If the Tenant had to terminate the leased property earlier than 15 years after the date of entry into force, cf. § 3.1, the Tenant must pay to the Landlord a moving out penalty, cf. Appendix 8, corresponding to the remaining amount of the Landlord's investment in rebuilding and renovating the rented property. The amount is due in its entirety on the date of termination in such case. The landlord is entitled to offset his claim for payment of the moving out penalty against the deposit.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4.4 The landlord has the right to place his own rental sign or equivalent on and in the façade of the tenancy during the notice period. During the same period, the Tenant is obligated – at the Landlord's request – to give potential future tenants access to an inspection of the tenancy.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4.5 It has been specifically agreed that the Tenant is entitled to terminate the total leased area of</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2nd floor or the 4th floor will cease no earlier than five (5) years after the entry into force of this part of the leased building, cf. section 3.1. Partial termination must be made with a minimum of 12 months' notice to end and move out on the 1st of a quarter.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4.6 In the event of the Tenant's partial termination of the total area on the 2nd or 4th floor, cf. § 4.5, the Tenant must pay a move-out penalty to the Landlord, cf. Appendix 8, corresponding to the share of the remaining amount of the Landlord's investment in rebuilding and renovating this part of the rented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property at the time of termination. The amount is due in full on the date of cessation of the areas on the 2nd or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4th floor. The landlord is entitled to set off his claim for payment of the moving out penalty against the deposit.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4.7 If the tenant exercises the right to partially terminate the areas on the 2nd or 4th floor, the distribution figures, all area-dependent services, cf. §§ 8-12 and the proportion of parking spaces shall be adjusted accordingly. The new distribution figures and parking spaces in the event of termination of the 2nd or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4th floor will then be as follows:</w:t>
      </w:r>
      <w:r>
        <w:rPr>
          <w:rFonts w:ascii="Times New Roman" w:hAnsi="Times New Roman"/>
          <w:color w:val="000000"/>
          <w:sz w:val="20"/>
        </w:rPr>
        <w:t xml:space="preserve"> </w:t>
      </w:r>
    </w:p>
    <w:tbl>
      <w:tblPr>
        <w:tblW w:w="6963" w:type="dxa"/>
        <w:jc w:val="left"/>
        <w:tblInd w:w="0" w:type="dxa"/>
        <w:tblLayout w:type="fixed"/>
        <w:tblCellMar>
          <w:top w:w="28" w:type="dxa"/>
          <w:left w:w="28" w:type="dxa"/>
          <w:bottom w:w="28" w:type="dxa"/>
          <w:right w:w="28" w:type="dxa"/>
        </w:tblCellMar>
      </w:tblPr>
      <w:tblGrid>
        <w:gridCol w:w="2866"/>
        <w:gridCol w:w="2026"/>
        <w:gridCol w:w="2071"/>
      </w:tblGrid>
      <w:tr>
        <w:trPr/>
        <w:tc>
          <w:tcPr>
            <w:tcW w:w="286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20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Delopsays 2. sal</w:t>
            </w:r>
            <w:r>
              <w:rPr>
                <w:rFonts w:ascii="Times New Roman" w:hAnsi="Times New Roman"/>
                <w:color w:val="000000"/>
                <w:sz w:val="22"/>
              </w:rPr>
              <w:t xml:space="preserve"> </w:t>
            </w:r>
          </w:p>
        </w:tc>
        <w:tc>
          <w:tcPr>
            <w:tcW w:w="207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Delopsays 4. sal</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Distribution figures §9</w:t>
            </w:r>
            <w:r>
              <w:rPr>
                <w:rFonts w:ascii="Times New Roman" w:hAnsi="Times New Roman"/>
                <w:color w:val="000000"/>
                <w:sz w:val="22"/>
              </w:rPr>
              <w:t xml:space="preserve"> </w:t>
            </w:r>
          </w:p>
        </w:tc>
        <w:tc>
          <w:tcPr>
            <w:tcW w:w="202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10.128,10</w:t>
            </w:r>
            <w:r>
              <w:rPr>
                <w:rFonts w:ascii="Times New Roman" w:hAnsi="Times New Roman"/>
                <w:color w:val="000000"/>
                <w:sz w:val="22"/>
              </w:rPr>
              <w:t xml:space="preserve"> </w:t>
            </w:r>
          </w:p>
        </w:tc>
        <w:tc>
          <w:tcPr>
            <w:tcW w:w="207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8.956,40</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Distribution figures §10</w:t>
            </w:r>
            <w:r>
              <w:rPr>
                <w:rFonts w:ascii="Times New Roman" w:hAnsi="Times New Roman"/>
                <w:color w:val="000000"/>
                <w:sz w:val="22"/>
              </w:rPr>
              <w:t xml:space="preserve"> </w:t>
            </w:r>
          </w:p>
        </w:tc>
        <w:tc>
          <w:tcPr>
            <w:tcW w:w="202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8.862,00</w:t>
            </w:r>
            <w:r>
              <w:rPr>
                <w:rFonts w:ascii="Times New Roman" w:hAnsi="Times New Roman"/>
                <w:color w:val="000000"/>
                <w:sz w:val="22"/>
              </w:rPr>
              <w:t xml:space="preserve"> </w:t>
            </w:r>
          </w:p>
        </w:tc>
        <w:tc>
          <w:tcPr>
            <w:tcW w:w="207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7.776,50</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Distribution figures §12</w:t>
            </w:r>
            <w:r>
              <w:rPr>
                <w:rFonts w:ascii="Times New Roman" w:hAnsi="Times New Roman"/>
                <w:color w:val="000000"/>
                <w:sz w:val="22"/>
              </w:rPr>
              <w:t xml:space="preserve"> </w:t>
            </w:r>
          </w:p>
        </w:tc>
        <w:tc>
          <w:tcPr>
            <w:tcW w:w="202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8.862,00</w:t>
            </w:r>
            <w:r>
              <w:rPr>
                <w:rFonts w:ascii="Times New Roman" w:hAnsi="Times New Roman"/>
                <w:color w:val="000000"/>
                <w:sz w:val="22"/>
              </w:rPr>
              <w:t xml:space="preserve"> </w:t>
            </w:r>
          </w:p>
        </w:tc>
        <w:tc>
          <w:tcPr>
            <w:tcW w:w="207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7.776,50</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Parking spaces</w:t>
            </w:r>
            <w:r>
              <w:rPr>
                <w:rFonts w:ascii="Times New Roman" w:hAnsi="Times New Roman"/>
                <w:color w:val="000000"/>
                <w:sz w:val="22"/>
              </w:rPr>
              <w:t xml:space="preserve"> </w:t>
            </w:r>
          </w:p>
        </w:tc>
        <w:tc>
          <w:tcPr>
            <w:tcW w:w="202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77</w:t>
            </w:r>
            <w:r>
              <w:rPr>
                <w:rFonts w:ascii="Times New Roman" w:hAnsi="Times New Roman"/>
                <w:color w:val="000000"/>
                <w:sz w:val="22"/>
              </w:rPr>
              <w:t xml:space="preserve"> </w:t>
            </w:r>
          </w:p>
        </w:tc>
        <w:tc>
          <w:tcPr>
            <w:tcW w:w="207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68</w:t>
            </w:r>
            <w:r>
              <w:rPr>
                <w:rFonts w:ascii="Times New Roman" w:hAnsi="Times New Roman"/>
                <w:color w:val="000000"/>
                <w:sz w:val="22"/>
              </w:rPr>
              <w:t xml:space="preserve">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 5.</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Relinquishment and reinstatement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5.1 The Tenant has the right to relinquish this lease unless the Landlord has justified objections to a new tenant's professional and financial circumstances or the Landlord otherwise has other weighty objections. Thus, the landlord is also entitled to refuse relinquishment if the incoming tenant's business may be in competition with other tenants in the Eden judgment.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Subletting</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6.1 The Tenant has the right to fully or partially sublet the lease for office activities to a legal person or a company if the Landlord cannot raise any justified objections against the person, including in relation to the person's professional and financial circumstances. Furthermore, the Landlord shall always be entitled to reject a potential subtenant if his business may be in competition with other tenants in the Property, however, not if this business corresponds to the Renter's own business. At the Landlord's request, the Tenant is obliged to send a copy of the sublease agreement to the Landlord. Subletting to companies or companies that are affiliated with the Tenant does not require the Landlord's consent. However, the Tenant must loyally inform the Landlord of this.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 7.</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Handover of the rented property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7.1 The Original Areas have been taken over, newly renovated, cf. drawing Appendix 1 and technical description Appendix 4a.</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7.2 The tenant carries out a rebuilding and renovation of the New Areas, so that these areas per Land Area. The date of entry into force is taken over newly renovated and as further described in Appendix 4b.</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7.3 The costs for rebuilding and renovating the leased premises as a result of the takeover of the New Areas are estimated at DKK [***] excluding VAT. The Landlord provides a contribution of DKK 10 million excl. VAT for the Tenant's rebuilding and renovation of the New Areas. It has been agreed that the Landlord will also finance a fixed amount of DKK 25,449,071 excluding VAT on the total renovation costs against the Renter's payment of a Rent Supplement, as defined and further described in section 8.2. The landlord's financing of the said amount is independent of whether the total renovation costs exceed the estimated amount. The Landlord's subsidy, DKK 10 million and financing DKK 25,449,071, will be paid to the Tenant when the Lease enters into force.</w:t>
      </w:r>
    </w:p>
    <w:p>
      <w:pPr>
        <w:pStyle w:val="TextBody"/>
        <w:bidi w:val="0"/>
        <w:spacing w:before="0" w:after="160"/>
        <w:jc w:val="left"/>
        <w:rPr>
          <w:rFonts w:ascii="Times New Roman" w:hAnsi="Times New Roman"/>
          <w:sz w:val="20"/>
        </w:rPr>
      </w:pPr>
      <w:r>
        <w:rPr>
          <w:rFonts w:ascii="Aptos;sans-serif" w:hAnsi="Aptos;sans-serif"/>
          <w:b/>
          <w:color w:val="000000"/>
          <w:sz w:val="22"/>
        </w:rPr>
        <w:t>§ 8.</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Annual benefits and deposit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 8.1 The annual rent is (incl. rent supplement) DKK </w:t>
      </w:r>
      <w:r>
        <w:rPr>
          <w:rFonts w:ascii="Aptos;sans-serif" w:hAnsi="Aptos;sans-serif"/>
          <w:b/>
          <w:color w:val="000000"/>
          <w:sz w:val="22"/>
        </w:rPr>
        <w:t>25.161.356,15</w:t>
      </w:r>
      <w:r>
        <w:rPr>
          <w:rFonts w:ascii="Aptos;sans-serif" w:hAnsi="Aptos;sans-serif"/>
          <w:color w:val="000000"/>
          <w:sz w:val="22"/>
        </w:rPr>
        <w:t>,- which appears as follows:</w:t>
      </w:r>
      <w:r>
        <w:rPr>
          <w:rFonts w:ascii="Times New Roman" w:hAnsi="Times New Roman"/>
          <w:color w:val="000000"/>
          <w:sz w:val="20"/>
        </w:rPr>
        <w:t xml:space="preserve"> </w:t>
      </w:r>
    </w:p>
    <w:tbl>
      <w:tblPr>
        <w:tblW w:w="6861" w:type="dxa"/>
        <w:jc w:val="left"/>
        <w:tblInd w:w="0" w:type="dxa"/>
        <w:tblLayout w:type="fixed"/>
        <w:tblCellMar>
          <w:top w:w="28" w:type="dxa"/>
          <w:left w:w="28" w:type="dxa"/>
          <w:bottom w:w="28" w:type="dxa"/>
          <w:right w:w="28" w:type="dxa"/>
        </w:tblCellMar>
      </w:tblPr>
      <w:tblGrid>
        <w:gridCol w:w="3586"/>
        <w:gridCol w:w="646"/>
        <w:gridCol w:w="646"/>
        <w:gridCol w:w="646"/>
        <w:gridCol w:w="646"/>
        <w:gridCol w:w="691"/>
      </w:tblGrid>
      <w:tr>
        <w:trPr/>
        <w:tc>
          <w:tcPr>
            <w:tcW w:w="35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Ground floor, lease 6</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Ground floor, lease 7</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Ground floor, lease 8</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Year 1</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15</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16</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2nd floor lease 18</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Year 4</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Basement, warehouse lease 2</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Basement, warehouse lease 1</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35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Rent surcharge (see § 8.2)</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91" w:type="dxa"/>
            <w:tcBorders>
              <w:bottom w:val="single" w:sz="6" w:space="0" w:color="000000"/>
            </w:tcBorders>
            <w:tcMar>
              <w:top w:w="0" w:type="dxa"/>
              <w:left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6276" w:type="dxa"/>
        <w:jc w:val="left"/>
        <w:tblInd w:w="0" w:type="dxa"/>
        <w:tblLayout w:type="fixed"/>
        <w:tblCellMar>
          <w:top w:w="28" w:type="dxa"/>
          <w:left w:w="28" w:type="dxa"/>
          <w:bottom w:w="28" w:type="dxa"/>
          <w:right w:w="28" w:type="dxa"/>
        </w:tblCellMar>
      </w:tblPr>
      <w:tblGrid>
        <w:gridCol w:w="2431"/>
        <w:gridCol w:w="646"/>
        <w:gridCol w:w="646"/>
        <w:gridCol w:w="646"/>
        <w:gridCol w:w="1186"/>
        <w:gridCol w:w="721"/>
      </w:tblGrid>
      <w:tr>
        <w:trPr/>
        <w:tc>
          <w:tcPr>
            <w:tcW w:w="24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Total</w:t>
            </w:r>
            <w:r>
              <w:rPr>
                <w:rFonts w:ascii="Times New Roman" w:hAnsi="Times New Roman"/>
                <w:color w:val="000000"/>
                <w:sz w:val="22"/>
              </w:rPr>
              <w:t xml:space="preserve"> </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721" w:type="dxa"/>
            <w:tcBorders>
              <w:top w:val="single" w:sz="6" w:space="0" w:color="000000"/>
              <w:bottom w:val="double" w:sz="6" w:space="0" w:color="000000"/>
            </w:tcBorders>
            <w:tcMar>
              <w:left w:w="0" w:type="dxa"/>
              <w:right w:w="0" w:type="dxa"/>
            </w:tcMar>
            <w:vAlign w:val="center"/>
          </w:tcPr>
          <w:p>
            <w:pPr>
              <w:pStyle w:val="TableContents"/>
              <w:bidi w:val="0"/>
              <w:spacing w:before="0" w:after="160"/>
              <w:jc w:val="left"/>
              <w:rPr>
                <w:rFonts w:ascii="Aptos;sans-serif" w:hAnsi="Aptos;sans-serif"/>
                <w:b/>
                <w:color w:val="000000"/>
                <w:sz w:val="22"/>
              </w:rPr>
            </w:pPr>
            <w:r>
              <w:rPr>
                <w:rFonts w:ascii="Aptos;sans-serif" w:hAnsi="Aptos;sans-serif"/>
                <w:b/>
                <w:color w:val="000000"/>
                <w:sz w:val="22"/>
              </w:rPr>
              <w:t>[***]</w:t>
            </w:r>
          </w:p>
        </w:tc>
      </w:tr>
      <w:tr>
        <w:trPr/>
        <w:tc>
          <w:tcPr>
            <w:tcW w:w="243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106 parking spaces</w:t>
            </w:r>
            <w:r>
              <w:rPr>
                <w:rFonts w:ascii="Times New Roman" w:hAnsi="Times New Roman"/>
                <w:color w:val="000000"/>
                <w:sz w:val="22"/>
              </w:rPr>
              <w:t xml:space="preserve"> </w:t>
            </w:r>
          </w:p>
        </w:tc>
        <w:tc>
          <w:tcPr>
            <w:tcW w:w="1292" w:type="dxa"/>
            <w:gridSpan w:val="2"/>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646"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per pitch</w:t>
            </w:r>
            <w:r>
              <w:rPr>
                <w:rFonts w:ascii="Times New Roman" w:hAnsi="Times New Roman"/>
                <w:color w:val="000000"/>
                <w:sz w:val="22"/>
              </w:rPr>
              <w:t xml:space="preserve"> </w:t>
            </w:r>
          </w:p>
        </w:tc>
        <w:tc>
          <w:tcPr>
            <w:tcW w:w="72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bl>
    <w:p>
      <w:pPr>
        <w:pStyle w:val="TextBody"/>
        <w:bidi w:val="0"/>
        <w:spacing w:before="0" w:after="160"/>
        <w:jc w:val="left"/>
        <w:rPr>
          <w:rFonts w:ascii="Times New Roman" w:hAnsi="Times New Roman"/>
          <w:sz w:val="20"/>
        </w:rPr>
      </w:pPr>
      <w:r>
        <w:rPr>
          <w:rFonts w:ascii="Aptos;sans-serif" w:hAnsi="Aptos;sans-serif"/>
          <w:color w:val="000000"/>
          <w:sz w:val="22"/>
        </w:rPr>
        <w:t>§ 8.2 The Tenant is obliged to pay an annual additional rent corresponding to DKK [***] plus VAT (the "Rent Supplement"). The rent supplement is paid in addition to the annual rent in force at any given time as payment for the Landlord's financing of the conversion. A proportionate share of the Rental Supplement is collected and paid for the first time together with the rent for the Rental Measure. The Tenant must pay the Additional Rent for 15 years, after which payment of the Rent Supplement lapses.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Section 13 does not apply to the Rent Supplement.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If the Tenant vacates the lease, or the lease is otherwise terminated - regardless of the reason for this - within 15 years after the entry into force of the New Areas and the Tenant has thus not paid the Rent Supplement for 15 years, the Tenant is obliged to pay a penalty to the Landlord, cf. § 4 and Appendix 8. However, the Tenant is obliged to make payment immediately on the Landlord's request, if the Lease is vacated prematurely by the Tenant without due notice, or the Landlord as a result of the Tenant's breach of contract terminates the Lease.</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In the event of partial termination of the areas located on the 2nd or 4th floor, a proportion of the Rent Supplement will be waived based on the size of the share of the terminated area in relation to the total leased area. The rental supplement amounts to DKK [***] per m2</w:t>
      </w:r>
    </w:p>
    <w:tbl>
      <w:tblPr>
        <w:tblW w:w="3153" w:type="dxa"/>
        <w:jc w:val="left"/>
        <w:tblInd w:w="0" w:type="dxa"/>
        <w:tblLayout w:type="fixed"/>
        <w:tblCellMar>
          <w:top w:w="28" w:type="dxa"/>
          <w:left w:w="28" w:type="dxa"/>
          <w:bottom w:w="28" w:type="dxa"/>
          <w:right w:w="28" w:type="dxa"/>
        </w:tblCellMar>
      </w:tblPr>
      <w:tblGrid>
        <w:gridCol w:w="1141"/>
        <w:gridCol w:w="1261"/>
        <w:gridCol w:w="751"/>
      </w:tblGrid>
      <w:tr>
        <w:trPr/>
        <w:tc>
          <w:tcPr>
            <w:tcW w:w="11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Year 2</w:t>
            </w:r>
            <w:r>
              <w:rPr>
                <w:rFonts w:ascii="Times New Roman" w:hAnsi="Times New Roman"/>
                <w:color w:val="000000"/>
                <w:sz w:val="22"/>
              </w:rPr>
              <w:t xml:space="preserve"> </w:t>
            </w:r>
          </w:p>
        </w:tc>
        <w:tc>
          <w:tcPr>
            <w:tcW w:w="126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DKK [***]</w:t>
            </w:r>
            <w:r>
              <w:rPr>
                <w:rFonts w:ascii="Times New Roman" w:hAnsi="Times New Roman"/>
                <w:color w:val="000000"/>
                <w:sz w:val="22"/>
              </w:rPr>
              <w:t xml:space="preserve"> </w:t>
            </w:r>
          </w:p>
        </w:tc>
        <w:tc>
          <w:tcPr>
            <w:tcW w:w="751" w:type="dxa"/>
            <w:tcBorders/>
            <w:tcMar>
              <w:top w:w="0" w:type="dxa"/>
              <w:left w:w="0" w:type="dxa"/>
              <w:bottom w:w="0" w:type="dxa"/>
              <w:right w:w="0" w:type="dxa"/>
            </w:tcMar>
            <w:vAlign w:val="center"/>
          </w:tcPr>
          <w:p>
            <w:pPr>
              <w:pStyle w:val="TableContents"/>
              <w:bidi w:val="0"/>
              <w:spacing w:before="0" w:after="160"/>
              <w:jc w:val="left"/>
              <w:rPr>
                <w:rFonts w:ascii="Aptos;sans-serif" w:hAnsi="Aptos;sans-serif"/>
                <w:color w:val="000000"/>
                <w:sz w:val="22"/>
              </w:rPr>
            </w:pPr>
            <w:r>
              <w:rPr>
                <w:rFonts w:ascii="Aptos;sans-serif" w:hAnsi="Aptos;sans-serif"/>
                <w:color w:val="000000"/>
                <w:sz w:val="22"/>
              </w:rPr>
              <w:t>[***]</w:t>
            </w:r>
          </w:p>
        </w:tc>
      </w:tr>
      <w:tr>
        <w:trPr/>
        <w:tc>
          <w:tcPr>
            <w:tcW w:w="114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4th floor</w:t>
            </w:r>
            <w:r>
              <w:rPr>
                <w:rFonts w:ascii="Times New Roman" w:hAnsi="Times New Roman"/>
                <w:color w:val="000000"/>
                <w:sz w:val="22"/>
              </w:rPr>
              <w:t xml:space="preserve"> </w:t>
            </w:r>
          </w:p>
        </w:tc>
        <w:tc>
          <w:tcPr>
            <w:tcW w:w="126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DKK [***]</w:t>
            </w:r>
            <w:r>
              <w:rPr>
                <w:rFonts w:ascii="Times New Roman" w:hAnsi="Times New Roman"/>
                <w:color w:val="000000"/>
                <w:sz w:val="22"/>
              </w:rPr>
              <w:t xml:space="preserve"> </w:t>
            </w:r>
          </w:p>
        </w:tc>
        <w:tc>
          <w:tcPr>
            <w:tcW w:w="75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w:t>
            </w:r>
            <w:r>
              <w:rPr>
                <w:rFonts w:ascii="Times New Roman" w:hAnsi="Times New Roman"/>
                <w:color w:val="000000"/>
                <w:sz w:val="22"/>
              </w:rPr>
              <w:t xml:space="preserve"> </w:t>
            </w:r>
          </w:p>
        </w:tc>
      </w:tr>
    </w:tbl>
    <w:p>
      <w:pPr>
        <w:pStyle w:val="TextBody"/>
        <w:bidi w:val="0"/>
        <w:spacing w:before="0" w:after="160"/>
        <w:jc w:val="left"/>
        <w:rPr>
          <w:rFonts w:ascii="Times New Roman" w:hAnsi="Times New Roman"/>
          <w:sz w:val="20"/>
        </w:rPr>
      </w:pPr>
      <w:r>
        <w:rPr>
          <w:rFonts w:ascii="Aptos;sans-serif" w:hAnsi="Aptos;sans-serif"/>
          <w:color w:val="000000"/>
          <w:sz w:val="22"/>
        </w:rPr>
        <w:t>The rent and the Rent Supplement are due for payment quarterly in advance each on 1 January, 1 April,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July 1 and October 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8.3 The first payment of Rent and Rent Supplement for the total lease as specified in § 1 takes place as of the date of entry into force, where rent is paid for the period from the date of entry into force until the end of the quarter in question.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8.4 In connection with the original lease agreements, the Tenant has paid a deposit of up to 6 months' rent for the Original Areas, corresponding to [***]. The Tenant has also made payment of the deposit in accordance with the previously applicable rent for the New Areas. No later than at the same time as the Tenant signs this lease, the Tenant is obliged to make payment to the Landlord of an additional deposit for the New Areas, so that the total security corresponds to 6 months' current rent, excluding the rent supplement for the total lease. The Landlord sends a separate charge to the Tenant on this.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8.5 This deposit is guaranteed as security for any outstanding balance between the Tenant and the Landlord in connection with the tenancy, including as security for the Tenant's obligations in connection with moving out. The deposit is withheld until any outstanding balance between the parties has been settled.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8.6 No interest is paid on the deposit. In the event of rent increases, the Landlord may require the Tenant to increase his deposit by cash payment, so that the total security at all times corresponds to 6 months' current rent, excluding the rent supplement.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8.7 In addition to the rent, the Tenant pays a share of the expenses in accordance with the consumption accounts, cf. section 9</w:t>
      </w:r>
      <w:r>
        <w:rPr>
          <w:rFonts w:ascii="Aptos;sans-serif" w:hAnsi="Aptos;sans-serif"/>
          <w:b/>
          <w:color w:val="000000"/>
          <w:sz w:val="22"/>
        </w:rPr>
        <w:t xml:space="preserve">, </w:t>
      </w:r>
      <w:r>
        <w:rPr>
          <w:rFonts w:ascii="Aptos;sans-serif" w:hAnsi="Aptos;sans-serif"/>
          <w:color w:val="000000"/>
          <w:sz w:val="22"/>
        </w:rPr>
        <w:t>and a share of the expenses, cf. sections 10-12.</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8.8 All claims arising from this contract or the Commercial Lease Act are obligatory monetary payments.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8.9 The tenant cannot refrain from paying rent or other services on the due date or make deductions from this, even if he may have a counterclaim against the landlord.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9.</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Consumption accounts (heat, water, etc.)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9.1 The landlord ensures the supply of heating and hot water. The Renter is obliged to purchase all of his consumption of heating and hot water according to the Landlord's instructions, and the Renter pays for this in accordance with the guidelines below. The Tenant may not establish any other heat supply without the Landlord's written consent.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9.2 The consumption accounts are prepared collectively for premises in the property or for units that have a common heat supply with it. The landlord may reduce or expand the units that have a common heat supply with the property and change the distribution among the units that participate in the joint heat supply.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9.3 The consumption accounts include the expenses listed below, subject to the reservation for unknown and/or new expenses.</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9.4 For the financial year 2025, the expenses for the entire property are budgeted as follows</w:t>
      </w:r>
    </w:p>
    <w:p>
      <w:pPr>
        <w:pStyle w:val="TextBody"/>
        <w:bidi w:val="0"/>
        <w:spacing w:before="0" w:after="160"/>
        <w:jc w:val="left"/>
        <w:rPr/>
      </w:pPr>
      <w:r>
        <w:rPr/>
        <w:t> </w:t>
      </w:r>
    </w:p>
    <w:tbl>
      <w:tblPr>
        <w:tblW w:w="8359" w:type="dxa"/>
        <w:jc w:val="left"/>
        <w:tblInd w:w="0" w:type="dxa"/>
        <w:tblLayout w:type="fixed"/>
        <w:tblCellMar>
          <w:top w:w="28" w:type="dxa"/>
          <w:left w:w="28" w:type="dxa"/>
          <w:bottom w:w="28" w:type="dxa"/>
          <w:right w:w="28" w:type="dxa"/>
        </w:tblCellMar>
      </w:tblPr>
      <w:tblGrid>
        <w:gridCol w:w="2581"/>
        <w:gridCol w:w="481"/>
        <w:gridCol w:w="2791"/>
        <w:gridCol w:w="2506"/>
      </w:tblGrid>
      <w:tr>
        <w:trPr/>
        <w:tc>
          <w:tcPr>
            <w:tcW w:w="25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5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Property area:</w:t>
            </w:r>
            <w:r>
              <w:rPr>
                <w:rFonts w:ascii="Times New Roman" w:hAnsi="Times New Roman"/>
                <w:color w:val="000000"/>
                <w:sz w:val="22"/>
              </w:rPr>
              <w:t xml:space="preserve"> </w:t>
            </w:r>
          </w:p>
        </w:tc>
        <w:tc>
          <w:tcPr>
            <w:tcW w:w="4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c>
          <w:tcPr>
            <w:tcW w:w="279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18.615,90</w:t>
            </w:r>
            <w:r>
              <w:rPr>
                <w:rFonts w:ascii="Times New Roman" w:hAnsi="Times New Roman"/>
                <w:color w:val="000000"/>
                <w:sz w:val="22"/>
              </w:rPr>
              <w:t xml:space="preserve"> </w:t>
            </w:r>
          </w:p>
        </w:tc>
        <w:tc>
          <w:tcPr>
            <w:tcW w:w="25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5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The lease's share:</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12.370,50</w:t>
            </w:r>
            <w:r>
              <w:rPr>
                <w:rFonts w:ascii="Times New Roman" w:hAnsi="Times New Roman"/>
                <w:color w:val="000000"/>
                <w:sz w:val="22"/>
              </w:rPr>
              <w:t xml:space="preserve"> </w:t>
            </w:r>
          </w:p>
        </w:tc>
      </w:tr>
      <w:tr>
        <w:trPr/>
        <w:tc>
          <w:tcPr>
            <w:tcW w:w="25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Expenses: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property's share</w:t>
            </w:r>
            <w:r>
              <w:rPr>
                <w:rFonts w:ascii="Times New Roman" w:hAnsi="Times New Roman"/>
                <w:color w:val="000000"/>
                <w:sz w:val="22"/>
              </w:rPr>
              <w:t xml:space="preserve"> </w:t>
            </w:r>
          </w:p>
        </w:tc>
        <w:tc>
          <w:tcPr>
            <w:tcW w:w="250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Share of the lease</w:t>
            </w:r>
            <w:r>
              <w:rPr>
                <w:rFonts w:ascii="Times New Roman" w:hAnsi="Times New Roman"/>
                <w:color w:val="000000"/>
                <w:sz w:val="22"/>
              </w:rPr>
              <w:t xml:space="preserve"> </w:t>
            </w:r>
          </w:p>
        </w:tc>
      </w:tr>
      <w:tr>
        <w:trPr/>
        <w:tc>
          <w:tcPr>
            <w:tcW w:w="25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District heating</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79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800.000</w:t>
            </w:r>
            <w:r>
              <w:rPr>
                <w:rFonts w:ascii="Times New Roman" w:hAnsi="Times New Roman"/>
                <w:color w:val="000000"/>
                <w:sz w:val="22"/>
              </w:rPr>
              <w:t xml:space="preserve"> </w:t>
            </w:r>
          </w:p>
        </w:tc>
        <w:tc>
          <w:tcPr>
            <w:tcW w:w="250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531.610</w:t>
            </w:r>
            <w:r>
              <w:rPr>
                <w:rFonts w:ascii="Times New Roman" w:hAnsi="Times New Roman"/>
                <w:color w:val="000000"/>
                <w:sz w:val="22"/>
              </w:rPr>
              <w:t xml:space="preserve"> </w:t>
            </w:r>
          </w:p>
        </w:tc>
      </w:tr>
      <w:tr>
        <w:trPr/>
        <w:tc>
          <w:tcPr>
            <w:tcW w:w="25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Energy management</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79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18.000</w:t>
            </w:r>
            <w:r>
              <w:rPr>
                <w:rFonts w:ascii="Times New Roman" w:hAnsi="Times New Roman"/>
                <w:color w:val="000000"/>
                <w:sz w:val="22"/>
              </w:rPr>
              <w:t xml:space="preserve"> </w:t>
            </w:r>
          </w:p>
        </w:tc>
        <w:tc>
          <w:tcPr>
            <w:tcW w:w="250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11.961</w:t>
            </w:r>
            <w:r>
              <w:rPr>
                <w:rFonts w:ascii="Times New Roman" w:hAnsi="Times New Roman"/>
                <w:color w:val="000000"/>
                <w:sz w:val="22"/>
              </w:rPr>
              <w:t xml:space="preserve"> </w:t>
            </w:r>
          </w:p>
        </w:tc>
      </w:tr>
      <w:tr>
        <w:trPr/>
        <w:tc>
          <w:tcPr>
            <w:tcW w:w="25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Energy labelling</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79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10.000</w:t>
            </w:r>
            <w:r>
              <w:rPr>
                <w:rFonts w:ascii="Times New Roman" w:hAnsi="Times New Roman"/>
                <w:color w:val="000000"/>
                <w:sz w:val="22"/>
              </w:rPr>
              <w:t xml:space="preserve"> </w:t>
            </w:r>
          </w:p>
        </w:tc>
        <w:tc>
          <w:tcPr>
            <w:tcW w:w="250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6.645</w:t>
            </w:r>
            <w:r>
              <w:rPr>
                <w:rFonts w:ascii="Times New Roman" w:hAnsi="Times New Roman"/>
                <w:color w:val="000000"/>
                <w:sz w:val="22"/>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8689" w:type="dxa"/>
        <w:jc w:val="left"/>
        <w:tblInd w:w="0" w:type="dxa"/>
        <w:tblLayout w:type="fixed"/>
        <w:tblCellMar>
          <w:top w:w="28" w:type="dxa"/>
          <w:left w:w="28" w:type="dxa"/>
          <w:bottom w:w="28" w:type="dxa"/>
          <w:right w:w="28" w:type="dxa"/>
        </w:tblCellMar>
      </w:tblPr>
      <w:tblGrid>
        <w:gridCol w:w="5341"/>
        <w:gridCol w:w="511"/>
        <w:gridCol w:w="1396"/>
        <w:gridCol w:w="1441"/>
      </w:tblGrid>
      <w:tr>
        <w:trPr/>
        <w:tc>
          <w:tcPr>
            <w:tcW w:w="53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34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Repairs and maintenance of heating systems</w:t>
            </w:r>
            <w:r>
              <w:rPr>
                <w:rFonts w:ascii="Times New Roman" w:hAnsi="Times New Roman"/>
                <w:color w:val="000000"/>
                <w:sz w:val="22"/>
              </w:rPr>
              <w:t xml:space="preserve"> </w:t>
            </w:r>
          </w:p>
        </w:tc>
        <w:tc>
          <w:tcPr>
            <w:tcW w:w="51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18.000</w:t>
            </w:r>
            <w:r>
              <w:rPr>
                <w:rFonts w:ascii="Times New Roman" w:hAnsi="Times New Roman"/>
                <w:color w:val="000000"/>
                <w:sz w:val="22"/>
              </w:rPr>
              <w:t xml:space="preserve"> </w:t>
            </w:r>
          </w:p>
        </w:tc>
        <w:tc>
          <w:tcPr>
            <w:tcW w:w="1441" w:type="dxa"/>
            <w:tcBorders>
              <w:top w:val="single" w:sz="6" w:space="0" w:color="000000"/>
              <w:bottom w:val="single" w:sz="6" w:space="0" w:color="000000"/>
              <w:right w:val="single" w:sz="6" w:space="0" w:color="000000"/>
            </w:tcBorders>
            <w:shd w:fill="D8D8D8" w:val="clear"/>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11.961</w:t>
            </w:r>
            <w:r>
              <w:rPr>
                <w:rFonts w:ascii="Times New Roman" w:hAnsi="Times New Roman"/>
                <w:color w:val="000000"/>
                <w:sz w:val="22"/>
              </w:rPr>
              <w:t xml:space="preserve"> </w:t>
            </w:r>
          </w:p>
        </w:tc>
      </w:tr>
      <w:tr>
        <w:trPr/>
        <w:tc>
          <w:tcPr>
            <w:tcW w:w="534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CTS</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138.000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91.703</w:t>
            </w:r>
            <w:r>
              <w:rPr>
                <w:rFonts w:ascii="Times New Roman" w:hAnsi="Times New Roman"/>
                <w:color w:val="000000"/>
                <w:sz w:val="22"/>
              </w:rPr>
              <w:t xml:space="preserve"> </w:t>
            </w:r>
          </w:p>
        </w:tc>
      </w:tr>
      <w:tr>
        <w:trPr/>
        <w:tc>
          <w:tcPr>
            <w:tcW w:w="534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Heating systems, deposits</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605.000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402.030</w:t>
            </w:r>
            <w:r>
              <w:rPr>
                <w:rFonts w:ascii="Times New Roman" w:hAnsi="Times New Roman"/>
                <w:color w:val="000000"/>
                <w:sz w:val="22"/>
              </w:rPr>
              <w:t xml:space="preserve"> </w:t>
            </w:r>
          </w:p>
        </w:tc>
      </w:tr>
      <w:tr>
        <w:trPr/>
        <w:tc>
          <w:tcPr>
            <w:tcW w:w="534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Fee</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26.000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17.277</w:t>
            </w:r>
            <w:r>
              <w:rPr>
                <w:rFonts w:ascii="Times New Roman" w:hAnsi="Times New Roman"/>
                <w:color w:val="000000"/>
                <w:sz w:val="22"/>
              </w:rPr>
              <w:t xml:space="preserve"> </w:t>
            </w:r>
          </w:p>
        </w:tc>
      </w:tr>
      <w:tr>
        <w:trPr/>
        <w:tc>
          <w:tcPr>
            <w:tcW w:w="534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Total excl. VAT</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1.615.000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1.073.188</w:t>
            </w:r>
            <w:r>
              <w:rPr>
                <w:rFonts w:ascii="Times New Roman" w:hAnsi="Times New Roman"/>
                <w:color w:val="000000"/>
                <w:sz w:val="22"/>
              </w:rPr>
              <w:t xml:space="preserve">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2"/>
        </w:rPr>
        <w:t>§ 9.5 The lease's share of the costs for heat consumption, energy labelling, etc. is estimated at DKK</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1,073,188 p.a. excl. VAT.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9.6 The costs of heat consumption shall be distributed among the tenants on the basis of distribution meters in the leases to the extent that they exist, and on the basis of criteria established by a heating engineer chosen by the Landlord, taking into account, among other things, the area and the room and male shares. All other expenses are distributed among the tenants in the property in proportion to the area of the individual lease in relation to the total area of the property at any given time, which is 18,615.90 m². However, expenses that can only be attributed to one or more of the individual leases in the property are distributed among these tenants in proportion to the gross areas involved. The lease's share is 12,370 m2 / 18,615.90 m², but can be changed, cf. § 1. The landlord is entitled to change the distribution key in the areas of the lease or property at any time and without notice, as long as it is not to the detriment of the 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9.7 If the Landlord deems that a Tenant's business will result in an increase beyond the usual in the costs of, for example, refuse collection or other expenses, the Landlord may impose a proportionately larger payment of the expenses in question on the Tenant and thus deviate from the otherwise applicable distribution principles.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9.8 To cover the consumption expenses, the Tenant pays a quarterly advance contribution, which is deducted from the final calculated expense for the financial year in question. This contribution on account may be changed at any time and without notice so that it always covers the actual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9.9 The final statement of the consumption accounts expenses is made once a year, as of 1 January-present. The landlord can reschedule the consumption accounting period with 2 weeks' written notice, and the rescheduling period may comprise more or less than 12 months.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9.10 If, as a result of an error or oversight, the Landlord has omitted to include an expense item in the accounts or included it with an amount that is too small, the Landlord is entitled, regardless of the size thereof, to either transfer the omitted expense item or any difference to the following consumption accounts or to collect the amount when the error is found.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9.11 The landlord is not responsible for temporary disturbances in the heating and hot water supply, but must remedy such disturbances as soon as possible.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9.12 Even though the contract covers the supply of heating and hot water throughout the year, the Landlord may interrupt the hot water supply during the summer without compensation to the extent necessary for the purpose of inspection of the system, etc.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9.13 If the Tenant objects to the consumption accounts, and the Landlord rejects them, the Tenant's objection is deemed to have lapsed, unless the Tenant within 2 weeks after receipt of the Landlord's rejection notifies the Landlord in writing that the objection is maintained and that the Tenant therefore wishes the case to be brought before the Housing Court.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10.</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Profit and loss account (operating and service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10.1 In addition to the agreed rent and the expenses mentioned in §§ 9, 11 and 12, the Landlord is entitled to claim reimbursement of operating expenses relating to the property, which are listed below. Unless otherwise stated, the Landlord is responsible for all measures regarding the property costs in return for reimbursement of these, cf. below.</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10.2 The income statement includes the expenses listed below, subject to the reservation for unknown and/or new expenses.</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10.3 For the financial period 2025, the expenses for the entire property are budgeted as follows:</w:t>
      </w:r>
    </w:p>
    <w:tbl>
      <w:tblPr>
        <w:tblW w:w="10205" w:type="dxa"/>
        <w:jc w:val="left"/>
        <w:tblInd w:w="0" w:type="dxa"/>
        <w:tblLayout w:type="fixed"/>
        <w:tblCellMar>
          <w:top w:w="28" w:type="dxa"/>
          <w:left w:w="28" w:type="dxa"/>
          <w:bottom w:w="28" w:type="dxa"/>
          <w:right w:w="28" w:type="dxa"/>
        </w:tblCellMar>
      </w:tblPr>
      <w:tblGrid>
        <w:gridCol w:w="4220"/>
        <w:gridCol w:w="473"/>
        <w:gridCol w:w="2609"/>
        <w:gridCol w:w="2903"/>
      </w:tblGrid>
      <w:tr>
        <w:trPr/>
        <w:tc>
          <w:tcPr>
            <w:tcW w:w="42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42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Condominium 1 above ground:</w:t>
            </w:r>
            <w:r>
              <w:rPr>
                <w:rFonts w:ascii="Times New Roman" w:hAnsi="Times New Roman"/>
                <w:color w:val="000000"/>
                <w:sz w:val="22"/>
              </w:rPr>
              <w:t xml:space="preserve"> </w:t>
            </w:r>
          </w:p>
        </w:tc>
        <w:tc>
          <w:tcPr>
            <w:tcW w:w="473"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c>
          <w:tcPr>
            <w:tcW w:w="260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12.679,70</w:t>
            </w:r>
            <w:r>
              <w:rPr>
                <w:rFonts w:ascii="Times New Roman" w:hAnsi="Times New Roman"/>
                <w:color w:val="000000"/>
                <w:sz w:val="22"/>
              </w:rPr>
              <w:t xml:space="preserve"> </w:t>
            </w:r>
          </w:p>
        </w:tc>
        <w:tc>
          <w:tcPr>
            <w:tcW w:w="2903"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lease's share above ground:</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903"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11.439,10</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Expenses:</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property's share</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part of the lease</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Land tax</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984.755</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888.406</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Cover charge</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2.599.586</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2.345.239</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Rat control</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2.569</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2.318</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sz w:val="4"/>
                <w:szCs w:val="4"/>
              </w:rPr>
            </w:pPr>
            <w:r>
              <w:rPr>
                <w:sz w:val="4"/>
                <w:szCs w:val="4"/>
              </w:rPr>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property's area above ground:</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16.342,30</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lease's share above ground:</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11.439,10</w:t>
            </w:r>
            <w:r>
              <w:rPr>
                <w:rFonts w:ascii="Times New Roman" w:hAnsi="Times New Roman"/>
                <w:color w:val="000000"/>
                <w:sz w:val="22"/>
              </w:rPr>
              <w:t xml:space="preserve"> </w:t>
            </w:r>
          </w:p>
        </w:tc>
      </w:tr>
      <w:tr>
        <w:trPr/>
        <w:tc>
          <w:tcPr>
            <w:tcW w:w="422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Expenses:</w:t>
            </w:r>
            <w:r>
              <w:rPr>
                <w:rFonts w:ascii="Times New Roman" w:hAnsi="Times New Roman"/>
                <w:color w:val="000000"/>
                <w:sz w:val="22"/>
              </w:rPr>
              <w:t xml:space="preserve"> </w:t>
            </w:r>
          </w:p>
        </w:tc>
        <w:tc>
          <w:tcPr>
            <w:tcW w:w="47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09"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property's share</w:t>
            </w:r>
            <w:r>
              <w:rPr>
                <w:rFonts w:ascii="Times New Roman" w:hAnsi="Times New Roman"/>
                <w:color w:val="000000"/>
                <w:sz w:val="22"/>
              </w:rPr>
              <w:t xml:space="preserve"> </w:t>
            </w:r>
          </w:p>
        </w:tc>
        <w:tc>
          <w:tcPr>
            <w:tcW w:w="2903"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lease's application</w:t>
            </w:r>
            <w:r>
              <w:rPr>
                <w:rFonts w:ascii="Times New Roman" w:hAnsi="Times New Roman"/>
                <w:color w:val="000000"/>
                <w:sz w:val="22"/>
              </w:rPr>
              <w:t xml:space="preserve"> </w:t>
            </w:r>
          </w:p>
          <w:p>
            <w:pPr>
              <w:pStyle w:val="TableContents"/>
              <w:bidi w:val="0"/>
              <w:spacing w:before="0" w:after="160"/>
              <w:jc w:val="left"/>
              <w:rPr>
                <w:rFonts w:ascii="Times New Roman" w:hAnsi="Times New Roman"/>
                <w:sz w:val="22"/>
              </w:rPr>
            </w:pPr>
            <w:r>
              <w:rPr>
                <w:rFonts w:ascii="Aptos;sans-serif" w:hAnsi="Aptos;sans-serif"/>
                <w:b/>
                <w:color w:val="000000"/>
                <w:sz w:val="22"/>
              </w:rPr>
              <w:t>of the</w:t>
            </w:r>
            <w:r>
              <w:rPr>
                <w:rFonts w:ascii="Times New Roman" w:hAnsi="Times New Roman"/>
                <w:color w:val="000000"/>
                <w:sz w:val="22"/>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8479" w:type="dxa"/>
        <w:jc w:val="left"/>
        <w:tblInd w:w="0" w:type="dxa"/>
        <w:tblLayout w:type="fixed"/>
        <w:tblCellMar>
          <w:top w:w="28" w:type="dxa"/>
          <w:left w:w="28" w:type="dxa"/>
          <w:bottom w:w="28" w:type="dxa"/>
          <w:right w:w="28" w:type="dxa"/>
        </w:tblCellMar>
      </w:tblPr>
      <w:tblGrid>
        <w:gridCol w:w="5671"/>
        <w:gridCol w:w="481"/>
        <w:gridCol w:w="1141"/>
        <w:gridCol w:w="1186"/>
      </w:tblGrid>
      <w:tr>
        <w:trPr/>
        <w:tc>
          <w:tcPr>
            <w:tcW w:w="56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67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Electricity for indoor and outdoor common areas</w:t>
            </w:r>
            <w:r>
              <w:rPr>
                <w:rFonts w:ascii="Times New Roman" w:hAnsi="Times New Roman"/>
                <w:color w:val="000000"/>
                <w:sz w:val="22"/>
              </w:rPr>
              <w:t xml:space="preserve"> </w:t>
            </w:r>
          </w:p>
        </w:tc>
        <w:tc>
          <w:tcPr>
            <w:tcW w:w="4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500.000</w:t>
            </w:r>
            <w:r>
              <w:rPr>
                <w:rFonts w:ascii="Times New Roman" w:hAnsi="Times New Roman"/>
                <w:color w:val="000000"/>
                <w:sz w:val="22"/>
              </w:rPr>
              <w:t xml:space="preserve"> </w:t>
            </w:r>
          </w:p>
        </w:tc>
        <w:tc>
          <w:tcPr>
            <w:tcW w:w="1186" w:type="dxa"/>
            <w:tcBorders>
              <w:top w:val="single" w:sz="6" w:space="0" w:color="000000"/>
              <w:bottom w:val="single" w:sz="6" w:space="0" w:color="000000"/>
              <w:right w:val="single" w:sz="6" w:space="0" w:color="000000"/>
            </w:tcBorders>
            <w:shd w:fill="D8D8D8" w:val="clear"/>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349.984</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Electricity tax</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400.000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279.988</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Water for common areas incl. the canteen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139.994</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Caretaker</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710.000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496.978</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ventilation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80.496</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automation on windows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revolving doors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17.000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11.899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Cleaning of grease traps and wells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17.000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11.899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Lifts - Statutory inspection and fall tests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24.499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elevators and alarm line</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5.600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sprinkler</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groundwater pumps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fire alarm system (ABA)</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62.997</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Emergency Lighting</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Pool in atrium</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brandmateriale</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6.300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Building network</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27.999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Cable TV/Hybridnet</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145.000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101.495</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of external blinds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of ventilation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55.998</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Elevator repair</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Sprinkler repair</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of basin in atrium</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of ABA systems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16.000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11.200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of revolving doors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8.500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5.950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Repair/replacement of lighting installations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10.500</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plumbing, toilet, shower facilities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13.999</w:t>
            </w:r>
            <w:r>
              <w:rPr>
                <w:rFonts w:ascii="Times New Roman" w:hAnsi="Times New Roman"/>
                <w:color w:val="000000"/>
                <w:sz w:val="22"/>
              </w:rPr>
              <w:t xml:space="preserve"> </w:t>
            </w:r>
          </w:p>
        </w:tc>
      </w:tr>
      <w:tr>
        <w:trPr/>
        <w:tc>
          <w:tcPr>
            <w:tcW w:w="567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Alarm system repair</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14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w:t>
            </w:r>
            <w:r>
              <w:rPr>
                <w:rFonts w:ascii="Times New Roman" w:hAnsi="Times New Roman"/>
                <w:color w:val="000000"/>
                <w:sz w:val="22"/>
              </w:rPr>
              <w:t xml:space="preserve"> </w:t>
            </w:r>
          </w:p>
        </w:tc>
        <w:tc>
          <w:tcPr>
            <w:tcW w:w="1186"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3.500</w:t>
            </w:r>
            <w:r>
              <w:rPr>
                <w:rFonts w:ascii="Times New Roman" w:hAnsi="Times New Roman"/>
                <w:color w:val="000000"/>
                <w:sz w:val="22"/>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7669" w:type="dxa"/>
        <w:jc w:val="left"/>
        <w:tblInd w:w="0" w:type="dxa"/>
        <w:tblLayout w:type="fixed"/>
        <w:tblCellMar>
          <w:top w:w="28" w:type="dxa"/>
          <w:left w:w="28" w:type="dxa"/>
          <w:bottom w:w="28" w:type="dxa"/>
          <w:right w:w="28" w:type="dxa"/>
        </w:tblCellMar>
      </w:tblPr>
      <w:tblGrid>
        <w:gridCol w:w="4411"/>
        <w:gridCol w:w="481"/>
        <w:gridCol w:w="1366"/>
        <w:gridCol w:w="1411"/>
      </w:tblGrid>
      <w:tr>
        <w:trPr/>
        <w:tc>
          <w:tcPr>
            <w:tcW w:w="44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41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Interior and exterior window cleaning</w:t>
            </w:r>
            <w:r>
              <w:rPr>
                <w:rFonts w:ascii="Times New Roman" w:hAnsi="Times New Roman"/>
                <w:color w:val="000000"/>
                <w:sz w:val="22"/>
              </w:rPr>
              <w:t xml:space="preserve"> </w:t>
            </w:r>
          </w:p>
        </w:tc>
        <w:tc>
          <w:tcPr>
            <w:tcW w:w="4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140.000</w:t>
            </w:r>
            <w:r>
              <w:rPr>
                <w:rFonts w:ascii="Times New Roman" w:hAnsi="Times New Roman"/>
                <w:color w:val="000000"/>
                <w:sz w:val="22"/>
              </w:rPr>
              <w:t xml:space="preserve"> </w:t>
            </w:r>
          </w:p>
        </w:tc>
        <w:tc>
          <w:tcPr>
            <w:tcW w:w="1411" w:type="dxa"/>
            <w:tcBorders>
              <w:top w:val="single" w:sz="6" w:space="0" w:color="000000"/>
              <w:bottom w:val="single" w:sz="6" w:space="0" w:color="000000"/>
              <w:right w:val="single" w:sz="6" w:space="0" w:color="000000"/>
            </w:tcBorders>
            <w:shd w:fill="D8D8D8" w:val="clear"/>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97.996</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Mats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12.599</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Renovation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220.000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153.993</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Provisions for ventilation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435.000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304.486</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Provisions for lifts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150.000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104.995</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Service Subscription Guard</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275.000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192.491</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Call-outs</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100.000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69.997</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Building insurance</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300.000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209.991</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Landowners' association</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500.000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349.984</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Fee</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139.000</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97.296</w:t>
            </w:r>
            <w:r>
              <w:rPr>
                <w:rFonts w:ascii="Times New Roman" w:hAnsi="Times New Roman"/>
                <w:color w:val="000000"/>
                <w:sz w:val="22"/>
              </w:rPr>
              <w:t xml:space="preserve"> </w:t>
            </w:r>
          </w:p>
        </w:tc>
      </w:tr>
      <w:tr>
        <w:trPr/>
        <w:tc>
          <w:tcPr>
            <w:tcW w:w="441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Total excl. VAT</w:t>
            </w:r>
            <w:r>
              <w:rPr>
                <w:rFonts w:ascii="Times New Roman" w:hAnsi="Times New Roman"/>
                <w:color w:val="000000"/>
                <w:sz w:val="22"/>
              </w:rPr>
              <w:t xml:space="preserve"> </w:t>
            </w:r>
          </w:p>
        </w:tc>
        <w:tc>
          <w:tcPr>
            <w:tcW w:w="48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9.455.511</w:t>
            </w:r>
            <w:r>
              <w:rPr>
                <w:rFonts w:ascii="Times New Roman" w:hAnsi="Times New Roman"/>
                <w:color w:val="000000"/>
                <w:sz w:val="22"/>
              </w:rPr>
              <w:t xml:space="preserve"> </w:t>
            </w:r>
          </w:p>
        </w:tc>
        <w:tc>
          <w:tcPr>
            <w:tcW w:w="141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6.618.563</w:t>
            </w:r>
            <w:r>
              <w:rPr>
                <w:rFonts w:ascii="Times New Roman" w:hAnsi="Times New Roman"/>
                <w:color w:val="000000"/>
                <w:sz w:val="22"/>
              </w:rPr>
              <w:t xml:space="preserve">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2"/>
        </w:rPr>
        <w:t>§ 10.4 The lease's share of the stated expenses is estimated at DKK 6,618,563 p.a. excluding VAT.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10.5 The property costs are distributed among the tenants in the property in proportion to the area of the individual lease in relation to the property's total area above ground level at any given time, which is 16,342.30 m². However, expenses that can only be attributed to one or more of the individual leases in the property are distributed among these tenants in proportion to the gross areas involved. The lease's share is 11,439.10 m2 / 16,342.30 m², but can be changed, cf. § 1. As regards expenses for land tax, cover tax and rat control, the expenses are distributed according to a separately specified distribution figure, as these expenses are assessed in relation to the relevant condominium in which the lease is located. The distribution figure and thus the lease's share is 11,439.10 m2 / 12,679.70 m2 as</w:t>
      </w:r>
      <w:r>
        <w:rPr>
          <w:rFonts w:ascii="Times New Roman" w:hAnsi="Times New Roman"/>
          <w:color w:val="000000"/>
          <w:sz w:val="20"/>
        </w:rPr>
        <w:t xml:space="preserve"> </w:t>
      </w:r>
      <w:r>
        <w:rPr>
          <w:rFonts w:ascii="Aptos;sans-serif" w:hAnsi="Aptos;sans-serif"/>
          <w:b/>
          <w:color w:val="000000"/>
          <w:sz w:val="22"/>
        </w:rPr>
        <w:t xml:space="preserve">far as these costs are concerned. </w:t>
      </w:r>
      <w:r>
        <w:rPr>
          <w:rFonts w:ascii="Aptos;sans-serif" w:hAnsi="Aptos;sans-serif"/>
          <w:color w:val="000000"/>
          <w:sz w:val="22"/>
        </w:rPr>
        <w:t>The landlord is entitled to change the distribution key in the rental meter, condominium or property areas at any time and without notice, as long as it is not to the detriment of the 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10.6 If the Landlord deems that a Tenant's business will result in an increase beyond the usual in the costs of, for example, refuse collection or other expenses, the Landlord may impose a proportionately larger payment of the expenses in question on the Tenant and thus deviate from the otherwise applicable distribution principles.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10.7 To cover the property expenses, the Tenant pays a monthly advance contribution, which is deducted from the final calculated expense for the financial year in question. This contribution on account may be changed at any time and without notice so that it always covers the actual expenses. The landlord must prepare a budget follow-up at least 1 time a year, so that the actual costs correspond to the on-account contributions to the greatest extent possible.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10.8 The final statement of the property expenses shall be made once a year as of 1 January. At the tenant's request, the landlord must document the expenses incurred.</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10.9 If, as a result of an error or oversight, the Landlord has omitted to include an expense item in the accounts or included this with an amount that is too small, the Landlord is notwithstanding</w:t>
      </w:r>
    </w:p>
    <w:p>
      <w:pPr>
        <w:pStyle w:val="TextBody"/>
        <w:bidi w:val="0"/>
        <w:spacing w:before="0" w:after="160"/>
        <w:jc w:val="left"/>
        <w:rPr>
          <w:rFonts w:ascii="Times New Roman" w:hAnsi="Times New Roman"/>
          <w:sz w:val="20"/>
        </w:rPr>
      </w:pPr>
      <w:r>
        <w:rPr>
          <w:rFonts w:ascii="Aptos;sans-serif" w:hAnsi="Aptos;sans-serif"/>
          <w:color w:val="000000"/>
          <w:sz w:val="22"/>
        </w:rPr>
        <w:t>The amount of this is entitled either to transfer the omitted item of expenditure or a possible difference to the following consumption accounts or to collect the amount when the error is found.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10.10 The tenant has been made aware that new legislation has been adopted in the area of taxation and determination of public valuation for commercial properties and residential rental properties. The new property valuation and tax system means that the tax base for the property in which the lease is located will be determined in the future on the basis of completely new valuation principles. The new rules for taxation entered into force on 1 January 2022 with adopted transitional arrangements until 2026, when the tax restructuring is expected to be implemented in its entirety.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tenant has been made aware of and accepts that the implementation of the new tax system means that the tax base and the derived taxes for the property will probably be changed in the future. The detailed tax consequences for the property and thus indirectly for the Tenant are still unknown. In the municipalities that levy cover tax, further increases in property taxes are to be expected. The parties have agreed that the Landlord is not responsible for any increase in the property's property taxes, including land tax and fees. The Landlord is therefore entitled – regardless of the time – to collect property taxes, including land tax and fees from the Tenant for the relevant rental period, if the property tax paid on account, including land tax and tax collected by the Danish Tax Agency has been assessed too low in relation to a new property assessment. The Landlord must submit his/her claim for additional collection against the Tenant no later than in connection with the Landlord's calculation of the eviction claim against the Tenant.</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The Tenant is separately made aware that the Landlord has not received the correct or final property tax ticket for 2025 for the condominium of which the lease is a part, which is why the estimates stated in section 10.1 regarding land tax, cover tax and rat control have been made on the basis of the property tax ticket for 2023 for the condominium. The landlord thus makes a separate reservation to carry out post-collection and any adjustment of the amount on account if this proves necessary in relation to the final assessed amounts. The Tenant shall be entitled to appeal the property valuation on behalf of the Landlord and the Landlord shall immediately submit the property valuation to the Tenant when it is received. Costs associated with any complaint are borne by the Renter.</w:t>
      </w:r>
    </w:p>
    <w:p>
      <w:pPr>
        <w:pStyle w:val="TextBody"/>
        <w:bidi w:val="0"/>
        <w:spacing w:before="0" w:after="160"/>
        <w:jc w:val="left"/>
        <w:rPr>
          <w:rFonts w:ascii="Times New Roman" w:hAnsi="Times New Roman"/>
          <w:sz w:val="20"/>
        </w:rPr>
      </w:pPr>
      <w:r>
        <w:rPr>
          <w:rFonts w:ascii="Aptos;sans-serif" w:hAnsi="Aptos;sans-serif"/>
          <w:b/>
          <w:color w:val="000000"/>
          <w:sz w:val="22"/>
        </w:rPr>
        <w:t>§ 11.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Other expenditure and types of expenditure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11.1 In addition to the rent, cf. section 8, and the expenses mentioned in sections 9, 10 and 12, the Renter must pay the following expenses directly to the supplier: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Electricity consumption in the rented apartment. </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2"/>
        </w:rPr>
      </w:pPr>
      <w:r>
        <w:rPr>
          <w:rFonts w:ascii="Aptos;sans-serif" w:hAnsi="Aptos;sans-serif"/>
          <w:color w:val="000000"/>
          <w:sz w:val="22"/>
        </w:rPr>
        <w:t>Disposal of company waste. The placement of waste containers must be done according to the Landlord's instructions.</w:t>
      </w:r>
    </w:p>
    <w:p>
      <w:pPr>
        <w:pStyle w:val="TextBody"/>
        <w:bidi w:val="0"/>
        <w:spacing w:before="0" w:after="160"/>
        <w:jc w:val="left"/>
        <w:rPr>
          <w:rFonts w:ascii="Times New Roman" w:hAnsi="Times New Roman"/>
          <w:sz w:val="20"/>
        </w:rPr>
      </w:pPr>
      <w:r>
        <w:rPr>
          <w:rFonts w:ascii="Aptos;sans-serif" w:hAnsi="Aptos;sans-serif"/>
          <w:color w:val="000000"/>
          <w:sz w:val="22"/>
        </w:rPr>
        <w:t>§ 11.2 If, despite the direct customer relationship between the Renter and the supplier, the Landlord is liable to the supplier for any of the above-mentioned deliveries, the Landlord may demand a separate deposit as security for the Renter's payments.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12</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Shared facilities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12.1 In the property, the Tenant, like the other Tenants in the property, has access to common facilities including a canteen, common meeting rooms, etc. The tenant is obliged to participate in the operation of these common facilities and to participate in the tenant committee.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The landlord guarantees that the property has a jointly serviced canteen arrangement and a serviced meeting center and auditorium.</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Common costs are paid in addition to the rent in section 8, heating and hot water § 9, expenses for the profit and loss account § 10 and other expenses § 11.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12.2 For the tenants' association accounts 2025, the expenses for the tenants' association are budgeted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621"/>
        <w:gridCol w:w="476"/>
        <w:gridCol w:w="2687"/>
        <w:gridCol w:w="2421"/>
      </w:tblGrid>
      <w:tr>
        <w:trPr/>
        <w:tc>
          <w:tcPr>
            <w:tcW w:w="46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462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The property's area above ground:</w:t>
            </w:r>
            <w:r>
              <w:rPr>
                <w:rFonts w:ascii="Times New Roman" w:hAnsi="Times New Roman"/>
                <w:color w:val="000000"/>
                <w:sz w:val="22"/>
              </w:rPr>
              <w:t xml:space="preserve"> </w:t>
            </w:r>
          </w:p>
        </w:tc>
        <w:tc>
          <w:tcPr>
            <w:tcW w:w="4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c>
          <w:tcPr>
            <w:tcW w:w="268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16.342,30</w:t>
            </w:r>
            <w:r>
              <w:rPr>
                <w:rFonts w:ascii="Times New Roman" w:hAnsi="Times New Roman"/>
                <w:color w:val="000000"/>
                <w:sz w:val="22"/>
              </w:rPr>
              <w:t xml:space="preserve"> </w:t>
            </w:r>
          </w:p>
        </w:tc>
        <w:tc>
          <w:tcPr>
            <w:tcW w:w="242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The lease's share above ground:</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42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11.439,10</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Expenses:</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The property's share</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Share of the lease</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Planting</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135.000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94.496</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Cleaning of common areas incl. can-thaw</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1.300.000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909.959</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Porcelain, etc.</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75.000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52.498</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Heat consumption for the canteen</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95.000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66.497</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Subscriptions to the canteen</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262.000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183.392</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Repair and maintenance of the canteen</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150.000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104.995</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Telephone for the kitchen</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32.000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22.399</w:t>
            </w:r>
            <w:r>
              <w:rPr>
                <w:rFonts w:ascii="Times New Roman" w:hAnsi="Times New Roman"/>
                <w:color w:val="000000"/>
                <w:sz w:val="22"/>
              </w:rPr>
              <w:t xml:space="preserve"> </w:t>
            </w:r>
          </w:p>
        </w:tc>
      </w:tr>
      <w:tr>
        <w:trPr/>
        <w:tc>
          <w:tcPr>
            <w:tcW w:w="46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Furniture for the kitchen</w:t>
            </w:r>
            <w:r>
              <w:rPr>
                <w:rFonts w:ascii="Times New Roman" w:hAnsi="Times New Roman"/>
                <w:color w:val="000000"/>
                <w:sz w:val="22"/>
              </w:rPr>
              <w:t xml:space="preserve"> </w:t>
            </w:r>
          </w:p>
        </w:tc>
        <w:tc>
          <w:tcPr>
            <w:tcW w:w="47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2687"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10.000</w:t>
            </w:r>
            <w:r>
              <w:rPr>
                <w:rFonts w:ascii="Times New Roman" w:hAnsi="Times New Roman"/>
                <w:color w:val="000000"/>
                <w:sz w:val="22"/>
              </w:rPr>
              <w:t xml:space="preserve"> </w:t>
            </w:r>
          </w:p>
        </w:tc>
        <w:tc>
          <w:tcPr>
            <w:tcW w:w="242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7.000</w:t>
            </w:r>
            <w:r>
              <w:rPr>
                <w:rFonts w:ascii="Times New Roman" w:hAnsi="Times New Roman"/>
                <w:color w:val="000000"/>
                <w:sz w:val="22"/>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tbl>
      <w:tblPr>
        <w:tblW w:w="6214" w:type="dxa"/>
        <w:jc w:val="left"/>
        <w:tblInd w:w="0" w:type="dxa"/>
        <w:tblLayout w:type="fixed"/>
        <w:tblCellMar>
          <w:top w:w="28" w:type="dxa"/>
          <w:left w:w="28" w:type="dxa"/>
          <w:bottom w:w="28" w:type="dxa"/>
          <w:right w:w="28" w:type="dxa"/>
        </w:tblCellMar>
      </w:tblPr>
      <w:tblGrid>
        <w:gridCol w:w="2866"/>
        <w:gridCol w:w="511"/>
        <w:gridCol w:w="139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Booking system service</w:t>
            </w:r>
            <w:r>
              <w:rPr>
                <w:rFonts w:ascii="Times New Roman" w:hAnsi="Times New Roman"/>
                <w:color w:val="000000"/>
                <w:sz w:val="22"/>
              </w:rPr>
              <w:t xml:space="preserve"> </w:t>
            </w:r>
          </w:p>
        </w:tc>
        <w:tc>
          <w:tcPr>
            <w:tcW w:w="51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55.000</w:t>
            </w:r>
            <w:r>
              <w:rPr>
                <w:rFonts w:ascii="Times New Roman" w:hAnsi="Times New Roman"/>
                <w:color w:val="000000"/>
                <w:sz w:val="22"/>
              </w:rPr>
              <w:t xml:space="preserve"> </w:t>
            </w:r>
          </w:p>
        </w:tc>
        <w:tc>
          <w:tcPr>
            <w:tcW w:w="1441" w:type="dxa"/>
            <w:tcBorders>
              <w:top w:val="single" w:sz="6" w:space="0" w:color="000000"/>
              <w:bottom w:val="single" w:sz="6" w:space="0" w:color="000000"/>
              <w:right w:val="single" w:sz="6" w:space="0" w:color="000000"/>
            </w:tcBorders>
            <w:shd w:fill="D8D8D8" w:val="clear"/>
            <w:tcMar>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38.498</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Provisions TV screens</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18.000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12.599</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Fee</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29.000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color w:val="000000"/>
                <w:sz w:val="22"/>
              </w:rPr>
              <w:t>20.299</w:t>
            </w:r>
            <w:r>
              <w:rPr>
                <w:rFonts w:ascii="Times New Roman" w:hAnsi="Times New Roman"/>
                <w:color w:val="000000"/>
                <w:sz w:val="22"/>
              </w:rPr>
              <w:t xml:space="preserve"> </w:t>
            </w:r>
          </w:p>
        </w:tc>
      </w:tr>
      <w:tr>
        <w:trPr/>
        <w:tc>
          <w:tcPr>
            <w:tcW w:w="28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Total excl. VAT</w:t>
            </w:r>
            <w:r>
              <w:rPr>
                <w:rFonts w:ascii="Times New Roman" w:hAnsi="Times New Roman"/>
                <w:color w:val="000000"/>
                <w:sz w:val="22"/>
              </w:rPr>
              <w:t xml:space="preserve"> </w:t>
            </w:r>
          </w:p>
        </w:tc>
        <w:tc>
          <w:tcPr>
            <w:tcW w:w="511"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kr.</w:t>
            </w:r>
            <w:r>
              <w:rPr>
                <w:rFonts w:ascii="Times New Roman" w:hAnsi="Times New Roman"/>
                <w:color w:val="000000"/>
                <w:sz w:val="22"/>
              </w:rPr>
              <w:t xml:space="preserve">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2.161.000</w:t>
            </w:r>
            <w:r>
              <w:rPr>
                <w:rFonts w:ascii="Times New Roman" w:hAnsi="Times New Roman"/>
                <w:color w:val="000000"/>
                <w:sz w:val="22"/>
              </w:rPr>
              <w:t xml:space="preserve"> </w:t>
            </w:r>
          </w:p>
        </w:tc>
        <w:tc>
          <w:tcPr>
            <w:tcW w:w="1441" w:type="dxa"/>
            <w:tcBorders>
              <w:bottom w:val="single" w:sz="6" w:space="0" w:color="000000"/>
              <w:right w:val="single" w:sz="6" w:space="0" w:color="000000"/>
            </w:tcBorders>
            <w:shd w:fill="D8D8D8" w:val="clear"/>
            <w:tcMar>
              <w:top w:w="0" w:type="dxa"/>
              <w:left w:w="0" w:type="dxa"/>
            </w:tcMar>
            <w:vAlign w:val="center"/>
          </w:tcPr>
          <w:p>
            <w:pPr>
              <w:pStyle w:val="TableContents"/>
              <w:bidi w:val="0"/>
              <w:spacing w:before="0" w:after="160"/>
              <w:jc w:val="left"/>
              <w:rPr>
                <w:rFonts w:ascii="Times New Roman" w:hAnsi="Times New Roman"/>
                <w:sz w:val="22"/>
              </w:rPr>
            </w:pPr>
            <w:r>
              <w:rPr>
                <w:rFonts w:ascii="Aptos;sans-serif" w:hAnsi="Aptos;sans-serif"/>
                <w:b/>
                <w:color w:val="000000"/>
                <w:sz w:val="22"/>
              </w:rPr>
              <w:t>1.512.633</w:t>
            </w:r>
            <w:r>
              <w:rPr>
                <w:rFonts w:ascii="Times New Roman" w:hAnsi="Times New Roman"/>
                <w:color w:val="000000"/>
                <w:sz w:val="22"/>
              </w:rPr>
              <w:t xml:space="preserve">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2"/>
        </w:rPr>
        <w:t>§ 12.3 The lease's share of the expenses for the tenant committee is estimated at DKK 1,512,633 p.a. excluding VAT.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12.4 The costs of the common facilities are distributed among the tenants in the property in proportion to the area of the individual lease in relation to the property's total area above ground at any given time, which is 16,342.30 m². However, expenses that can only be attributed to one or more of the individual leases in the property are distributed among these tenants in proportion to the gross areas involved. The lease's share is 11,439.10 m2 / 16,342.30 m², as long as it is not to the detriment of the tenant.</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12.5 The final statement of expenses for the tenant committee is made once a year, as of 1 January.</w:t>
      </w:r>
    </w:p>
    <w:p>
      <w:pPr>
        <w:pStyle w:val="TextBody"/>
        <w:bidi w:val="0"/>
        <w:spacing w:before="0" w:after="160"/>
        <w:jc w:val="left"/>
        <w:rPr>
          <w:rFonts w:ascii="Times New Roman" w:hAnsi="Times New Roman"/>
          <w:sz w:val="20"/>
        </w:rPr>
      </w:pPr>
      <w:r>
        <w:rPr>
          <w:rFonts w:ascii="Aptos;sans-serif" w:hAnsi="Aptos;sans-serif"/>
          <w:b/>
          <w:color w:val="000000"/>
          <w:sz w:val="22"/>
        </w:rPr>
        <w:t>§ 13.</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Pristals/Percent Regulation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13.1 The rent (excluding the rent supplement) is adjusted once a year with the percentage change in the net price index. The percentage is calculated to two decimal places. The net price index used has 2015 = 100 and is defined in more detail in Consolidated Act No. 76 of 3 February 1999.</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13.2 The adjustment shall take place every year on 1 July accumulating on the basis of the rent in force at the time of adjustment with the percentage change in the net price index. The first adjustment for the total lease will take place on 1 July 2026 on the basis of the percentage change in the net price index from 1 April 2025 to 1 April 2026.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13.3 If the statutory order on the calculation of the net price index or the calculation methods therefor is amended, the adjustment of the rent shall be made in accordance with rules that correspond as closely as possible to the principles applicable in the above-mentioned Act and the principles currently applied.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13.4 Even if the Landlord forgets to make one or more adjustments to the rent in accordance with this provision, the Landlord does not lose the right to make the forgotten adjustments at any later time and thus demand the Tenant the resulting rent increase with retroactive effect, unless the Landlord has expressly waived this.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13.5 If the annual rent is adjusted to the market rent, cf. § 15, or is adjusted as a result of taxes and duties, cf. § 12, and is otherwise adjusted as a result of improvements or other adjustment provisions that may be introduced by changes in the rental legislation, the net price index adjustment shall continue so that the net price index adjustment is calculated on the basis of the new regulated rent.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14.</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Adjustment of rent to market rent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14.1 Each party may demand that the rent (excluding the Rent Supplement) be adjusted to the market rent in accordance with the rules in Section 13 of the Commercial Lease Act, however, no earlier than 1 July 2035.</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14.2 Market rent does not only mean the rent that can be obtained by letting the lease for the use stipulated in this contract, but also the rent that can be obtained by letting for another use.</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14.3 The tenant will never be able to demand a reduction in the rent to an amount lower than the rent at the commencement of the lease with the addition of adjustments in accordance with § 13.</w:t>
      </w:r>
    </w:p>
    <w:p>
      <w:pPr>
        <w:pStyle w:val="TextBody"/>
        <w:bidi w:val="0"/>
        <w:spacing w:before="0" w:after="160"/>
        <w:jc w:val="left"/>
        <w:rPr>
          <w:rFonts w:ascii="Times New Roman" w:hAnsi="Times New Roman"/>
          <w:sz w:val="20"/>
        </w:rPr>
      </w:pPr>
      <w:r>
        <w:rPr>
          <w:rFonts w:ascii="Aptos;sans-serif" w:hAnsi="Aptos;sans-serif"/>
          <w:b/>
          <w:color w:val="000000"/>
          <w:sz w:val="22"/>
        </w:rPr>
        <w:t>§ 15.</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Maintenance and renewals</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15.1 Expenses for maintenance of the property's building envelope, which means the roof, facades and the exterior of doors and windows – except shop doors and windows – are covered</w:t>
      </w:r>
    </w:p>
    <w:p>
      <w:pPr>
        <w:pStyle w:val="TextBody"/>
        <w:bidi w:val="0"/>
        <w:spacing w:before="0" w:after="160"/>
        <w:jc w:val="left"/>
        <w:rPr>
          <w:rFonts w:ascii="Times New Roman" w:hAnsi="Times New Roman"/>
          <w:sz w:val="20"/>
        </w:rPr>
      </w:pPr>
      <w:r>
        <w:rPr>
          <w:rFonts w:ascii="Aptos;sans-serif" w:hAnsi="Aptos;sans-serif"/>
          <w:color w:val="000000"/>
          <w:sz w:val="22"/>
        </w:rPr>
        <w:t>Finally, by the landlord, whereas other maintenance, cleaning and renewal expenses are paid by the tenants through the property accounts, cf. section 10.</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15.2 Any internal cleaning and maintenance of the lease is thus the responsibility of the Tenant. The tenant's duty of maintenance includes, among other things, renewal of paint, wall cladding, whitening, floor coverings, etc., maintenance and replacement of locks, keys, fittings, windows, taps, sinks and toilet bowls and other sanitary installations, electrical installations, including white goods and fittings of all kinds, cleaning of water traps with drains from sinks, and cleaning and maintenance of all other installations in the rented premises. The aforementioned enumeration of the elements of the Tenant's maintenance obligation is not exhaustive, but only examples.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15.3 Any internal cleaning and maintenance of the Tenancy as a result of deterioration through wear and tear is the responsibility of the Tenant and must be carried out as often as necessary for the sake of the nature of the property and the rented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15.4 The Landlord may require the Renter to have the maintenance and repair work carried out immediately when a defect has been detected.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15.5 If the Renter does not fulfil a maintenance or repair work required of him without postponement after being requested in writing by the Landlord, the Landlord may have the work carried out at the Renter's expense.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15.6 The tenant may not demand a reduction in the rent or any form of compensation for the time spent on the above-mentioned maintenance, repair and/or rebuilding work. However, the Landlord is liable for damages according to the general rules of Danish law if the work that is the responsibility of the Landlord in this connection is of such a scope that they exclude the Renter from carrying out his business.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15.7 The landlord is entitled, but not obligated, to carry out an annual review of the rented property and the property in general with a view to assessing the state of maintenance, etc.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15.8 The landlord is entitled to initiate work both inside and outside the leased premises in accordance with the rules in Chapter 5 of the Commercial Lease Act. Changes that significantly and permanently change the identity of the rented property require the Renter's consent.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House rules and use of outdoor and common areas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16.1 It is the Tenant's responsibility to observe that there is good order in and around the rented property, and that this is managed in such a way that the interests of the Landlord and the other tenants are not violated, thereby emphasizing in particular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u w:val="single"/>
        </w:rPr>
        <w:t xml:space="preserve">that the </w:t>
      </w:r>
      <w:r>
        <w:rPr>
          <w:rFonts w:ascii="Aptos;sans-serif" w:hAnsi="Aptos;sans-serif"/>
          <w:color w:val="000000"/>
          <w:sz w:val="22"/>
        </w:rPr>
        <w:t>Tenant must handle the rented property and its accessories properly as well as the property in general,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u w:val="single"/>
        </w:rPr>
        <w:t xml:space="preserve">that </w:t>
      </w:r>
      <w:r>
        <w:rPr>
          <w:rFonts w:ascii="Aptos;sans-serif" w:hAnsi="Aptos;sans-serif"/>
          <w:color w:val="000000"/>
          <w:sz w:val="22"/>
        </w:rPr>
        <w:t>bicycles may not be parked outside the designated and designated racks. Cars belonging to the Renter and his staff and visitors may only be parked on the property according to the Landlord's instructions.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16.2 The Landlord may at any time draw up house rules and regulations that the Tenant is obliged to strictly observe.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16.3 If the Renter, without the Landlord's approval or in violation of the terms of such agreement, erects signs, flagpoles, awnings or the like on or near the property, cf. hereby § 2 of the Contract, the Landlord is entitled to remove the items in question at the Renter's expense and risk without prior notice. In the same way, the Landlord is entitled to remove effects, such as advertisements, clothes racks, display cabinets, etc., which the Tenant has erected in the property's outdoor and/or common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areas without the Landlord's approval or in violation of the terms of such a law. Such removed items are stored by the Landlord at the Renter's expense and risk.</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16.4 The Tenant's failure to comply with the Landlord's instructions and requirements with regard to signage, advertising, clothes racks, display cabinets, etc. is considered a material breach of the tenancy and entitles the Landlord to terminate and terminate it in accordance with the rules of the Commercial Tenancy Act, Chapters 11 and 12.</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16.5 The Tenant undertakes to vacate storage rooms that also function as security rooms within the legal time frame in force at any given time.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16.6 Regardless of whether part of the property's common area is included in the gross area of the leased property, the Landlord has the sovereign disposal of all common areas as well as of all outdoor areas, be it pavements, courtyards and all other common areas, e.g. stairs, elevations, etc. This means that the Landlord has the sovereign disposal of these areas, including for the benefit of third parties and both for remuneration and without remuneration. For example, the landlord is allowed to rent out for advertising spaces, mobile antennas, etc.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17.</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Responsibility and risk</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17.1 The tenant takes care of taking out commercial insurance covering fire, theft and operating loss before the date of entry into force, i.e. before the furnishing of the rented premises with furniture, etc., covering fire, theft and operating losses.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17.2 Should damage occur to the Tenant's property (e.g. furniture, etc.) during the term of the tenancy as a result of errors, defects or omissions in the rented property, the Landlord can only be held liable for this if the Landlord has acted negligently.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17.3 If the Landlord is liable for damages pursuant to the above, the liability per event of damage may not exceed an amount corresponding to the deposit currently paid by the Renter at the time of the damage.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18.</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Moving out and returning the rented property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18.1 At the end of the lease, the Tenant must no later than 12 noon on the day the leased property is vacated, even if it is a public holiday or the day before a public holiday, return the rented property with what belongs to it, in the same condition as at the time of handover, which means newly renovated in accordance with § 7, Appendix 4a (The Original Areas) and Appendix 3.2 and Appendix 4b (The New Areas), i.e. freshly painted on all paintable surfaces, with newly treated floor surfaces and all installations cleaned and in full functional condition and otherwise well maintained and cleaned. The departing Tenant is obliged to pay rent for the time it takes to renovate the premises.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color w:val="000000"/>
          <w:sz w:val="22"/>
        </w:rPr>
        <w:t>§ 18.2 Any of the parties may demand that a joint inspection of the rented property no later than 14 days before the moving date is held in order to agree on the scope and implementation of the Tenant's renovation obligation. If renovation has not been carried out – or in the Landlord's discretion not carried out satisfactorily – before the tenant's handover, the renovation will take place at the Landlord's request and at the Tenant's expense. The Landlord may instead demand that the Tenant's lack of renovation obligations be capitalised and that the amount thus determined is paid in cash by the Tenant at the end of the lease. In that case, the Tenant is not entitled to have the tenancy further renovated. Immediately after this inspection has been carried out, the Landlord and the Tenant each obtain two offers from recognised craftsmen for the execution of the described renovation work and technician fees.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18.3 If the parties cannot reach agreement on the cost of renovation work and technical fees and/or the time spent on the repair, cf. §§ 18.1 and § 18.2, either party may request the appointment of an expert who is appointed by the Danish Institute of Arbitration. The appraiser finally determines the cost of renovation work and technician fees as well as the renovation period that is included in the renovation. The costs of the Danish Institute of Arbitration and the expert are shared between the parties.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18.4 The Tenant's alterations to or special furnishings in the rented premises must be removed and the premises restored, unless the Landlord decides that the special furnishings must remain in the Lease, in which case these must be handed over in the same good condition as the rest of the Lease.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18.5 The Renter is obliged to hand over all keys to locks in doors etc., including such locks that the Renter has placed himself.</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18.6 Everything that the Tenant has installed or may later install of furniture in the rented premises, such as counters, cabinets, tables, machines, etc., belongs to the Tenant and must be taken with him at the end of the lease, and a complete restoration must be carried out after removal.</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18.7 It has been agreed between the parties that the time limit in section 74(2) of the Commercial Lease Act is set at 3 months.</w:t>
      </w:r>
    </w:p>
    <w:p>
      <w:pPr>
        <w:pStyle w:val="TextBody"/>
        <w:bidi w:val="0"/>
        <w:spacing w:before="0" w:after="160"/>
        <w:jc w:val="left"/>
        <w:rPr>
          <w:rFonts w:ascii="Times New Roman" w:hAnsi="Times New Roman"/>
          <w:sz w:val="20"/>
        </w:rPr>
      </w:pPr>
      <w:r>
        <w:rPr>
          <w:rFonts w:ascii="Aptos;sans-serif" w:hAnsi="Aptos;sans-serif"/>
          <w:b/>
          <w:color w:val="000000"/>
          <w:sz w:val="22"/>
        </w:rPr>
        <w:t>§ 19.</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Tenancy law</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19.1 The tenant has a right to pre-lease vacant premises in the property. The tenant has 14 days to return to the landlord's enquiry about a possible pre-tenancy right. Premises must offer on market terms. If the tenant does not return within 14 days, the landlord has the right to rent to another party.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Times New Roman" w:hAnsi="Times New Roman"/>
          <w:sz w:val="20"/>
        </w:rPr>
      </w:pPr>
      <w:r>
        <w:rPr>
          <w:rFonts w:ascii="Aptos;sans-serif" w:hAnsi="Aptos;sans-serif"/>
          <w:b/>
          <w:color w:val="000000"/>
          <w:sz w:val="22"/>
        </w:rPr>
        <w:t>§ 20.</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VAT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20.1 All services under this lease are subject to the VAT rate applicable at any given time.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21.</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Disputes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21.1 Any dispute that may arise in connection with this lease must be brought before the housing court of first instance.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21.2 However, disputes concerning the Tenant's obligations to repair the Tenant in accordance with clause 20 of the contract shall be settled by an expert appointed by the Danish Institute of Arbitration.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 22.</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u w:val="single"/>
        </w:rPr>
        <w:t>Registration and costs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22.1 If the Tenant has acquired greater rights under this contract than are due to the Tenant under the Commercial Lease Act, he is entitled to have an extract of the lease registered on the property matr.nr on his own initiative. 5ac, Hellerup, however, with respect to current and future burdens, easements and without prejudice for current and future mortgage liens.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22.2 The contract may be cancelled at the request of the Landlord either upon presentation of the Tenant's termination, the Landlord's termination or a printout of the bailiff's book confirming the Tenant's eviction of the tenancy, or the Landlord in some other way proves that the Tenant has vacated the tenancy. The tenant bears any costs in the event of cancellation.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22.3 The parties shall each bear their own costs in connection with the negotiation and preparation of this lease agreement, including fees for their own advisers, lawyer, etc.</w:t>
      </w:r>
      <w:r>
        <w:rPr>
          <w:rFonts w:ascii="Times New Roman" w:hAnsi="Times New Roman"/>
          <w:color w:val="000000"/>
          <w:sz w:val="20"/>
        </w:rPr>
        <w:t xml:space="preserve"> </w:t>
      </w:r>
    </w:p>
    <w:p>
      <w:pPr>
        <w:pStyle w:val="TextBody"/>
        <w:bidi w:val="0"/>
        <w:spacing w:before="0" w:after="160"/>
        <w:jc w:val="left"/>
        <w:rPr/>
      </w:pPr>
      <w:r>
        <w:rPr/>
        <w:drawing>
          <wp:inline distT="0" distB="0" distL="0" distR="0">
            <wp:extent cx="285750" cy="146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0"/>
                    <a:stretch>
                      <a:fillRect/>
                    </a:stretch>
                  </pic:blipFill>
                  <pic:spPr bwMode="auto">
                    <a:xfrm>
                      <a:off x="0" y="0"/>
                      <a:ext cx="285750" cy="14605"/>
                    </a:xfrm>
                    <a:prstGeom prst="rect">
                      <a:avLst/>
                    </a:prstGeom>
                  </pic:spPr>
                </pic:pic>
              </a:graphicData>
            </a:graphic>
          </wp:inline>
        </w:drawing>
      </w:r>
      <w:r>
        <w:rPr/>
        <w:drawing>
          <wp:inline distT="0" distB="0" distL="0" distR="0">
            <wp:extent cx="285750" cy="146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1"/>
                    <a:stretch>
                      <a:fillRect/>
                    </a:stretch>
                  </pic:blipFill>
                  <pic:spPr bwMode="auto">
                    <a:xfrm>
                      <a:off x="0" y="0"/>
                      <a:ext cx="285750" cy="14605"/>
                    </a:xfrm>
                    <a:prstGeom prst="rect">
                      <a:avLst/>
                    </a:prstGeom>
                  </pic:spPr>
                </pic:pic>
              </a:graphicData>
            </a:graphic>
          </wp:inline>
        </w:drawing>
      </w:r>
      <w:r>
        <w:rPr>
          <w:rFonts w:ascii="Aptos;sans-serif" w:hAnsi="Aptos;sans-serif"/>
          <w:color w:val="000000"/>
          <w:sz w:val="22"/>
        </w:rPr>
        <w:t>ooo0ooo</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Annex:</w:t>
      </w:r>
      <w:r>
        <w:rPr>
          <w:rFonts w:ascii="Times New Roman" w:hAnsi="Times New Roman"/>
          <w:color w:val="000000"/>
          <w:sz w:val="20"/>
        </w:rPr>
        <w:t xml:space="preserve"> </w:t>
      </w:r>
    </w:p>
    <w:p>
      <w:pPr>
        <w:pStyle w:val="TextBody"/>
        <w:bidi w:val="0"/>
        <w:spacing w:before="0" w:after="160"/>
        <w:jc w:val="left"/>
        <w:rPr>
          <w:rFonts w:ascii="Aptos" w:hAnsi="Aptos"/>
          <w:color w:val="000000"/>
          <w:sz w:val="22"/>
        </w:rPr>
      </w:pPr>
      <w:r>
        <w:rPr>
          <w:rFonts w:ascii="Aptos" w:hAnsi="Aptos"/>
          <w:color w:val="000000"/>
          <w:sz w:val="22"/>
        </w:rPr>
        <w:t>1.</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Drawing dated 28.05.2025 </w:t>
      </w:r>
    </w:p>
    <w:p>
      <w:pPr>
        <w:pStyle w:val="TextBody"/>
        <w:bidi w:val="0"/>
        <w:spacing w:before="0" w:after="160"/>
        <w:jc w:val="left"/>
        <w:rPr>
          <w:rFonts w:ascii="Aptos" w:hAnsi="Aptos"/>
          <w:color w:val="000000"/>
          <w:sz w:val="22"/>
        </w:rPr>
      </w:pPr>
      <w:r>
        <w:rPr>
          <w:rFonts w:ascii="Aptos" w:hAnsi="Aptos"/>
          <w:color w:val="000000"/>
          <w:sz w:val="22"/>
        </w:rPr>
        <w:t>2.</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Energy label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b/>
          <w:color w:val="000000"/>
          <w:sz w:val="22"/>
        </w:rPr>
        <w:t>(NON-OFFICIAL ENGLISH TRANSLATION)</w:t>
      </w:r>
      <w:r>
        <w:rPr>
          <w:rFonts w:ascii="Times New Roman" w:hAnsi="Times New Roman"/>
          <w:color w:val="000000"/>
          <w:sz w:val="20"/>
        </w:rPr>
        <w:t xml:space="preserve"> </w:t>
      </w:r>
      <w:r>
        <w:rPr>
          <w:rFonts w:ascii="Aptos;sans-serif" w:hAnsi="Aptos;sans-serif"/>
          <w:b/>
          <w:color w:val="000000"/>
          <w:sz w:val="22"/>
        </w:rPr>
        <w:t>Exhibit 4.5</w:t>
      </w:r>
    </w:p>
    <w:p>
      <w:pPr>
        <w:pStyle w:val="TextBody"/>
        <w:bidi w:val="0"/>
        <w:spacing w:before="0" w:after="160"/>
        <w:jc w:val="left"/>
        <w:rPr>
          <w:rFonts w:ascii="Aptos" w:hAnsi="Aptos"/>
          <w:color w:val="000000"/>
          <w:sz w:val="22"/>
        </w:rPr>
      </w:pPr>
      <w:r>
        <w:rPr>
          <w:rFonts w:ascii="Aptos" w:hAnsi="Aptos"/>
          <w:color w:val="000000"/>
          <w:sz w:val="22"/>
        </w:rPr>
        <w:t>3.</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The Danish Business Authority's checklist </w:t>
      </w:r>
    </w:p>
    <w:p>
      <w:pPr>
        <w:pStyle w:val="TextBody"/>
        <w:bidi w:val="0"/>
        <w:spacing w:before="0" w:after="160"/>
        <w:jc w:val="left"/>
        <w:rPr>
          <w:rFonts w:ascii="Times New Roman" w:hAnsi="Times New Roman"/>
          <w:sz w:val="20"/>
        </w:rPr>
      </w:pPr>
      <w:r>
        <w:rPr>
          <w:rFonts w:ascii="Aptos;sans-serif" w:hAnsi="Aptos;sans-serif"/>
          <w:color w:val="000000"/>
          <w:sz w:val="22"/>
        </w:rPr>
        <w:t>3.2 Move-in report – the new areas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4a. Technical description – The original areas 4b. Technical description – The new areas</w:t>
      </w:r>
      <w:r>
        <w:rPr>
          <w:rFonts w:ascii="Times New Roman" w:hAnsi="Times New Roman"/>
          <w:color w:val="000000"/>
          <w:sz w:val="20"/>
        </w:rPr>
        <w:t xml:space="preserve"> </w:t>
      </w:r>
    </w:p>
    <w:p>
      <w:pPr>
        <w:pStyle w:val="TextBody"/>
        <w:bidi w:val="0"/>
        <w:spacing w:before="0" w:after="160"/>
        <w:jc w:val="left"/>
        <w:rPr>
          <w:rFonts w:ascii="Aptos" w:hAnsi="Aptos"/>
          <w:color w:val="000000"/>
          <w:sz w:val="22"/>
        </w:rPr>
      </w:pPr>
      <w:r>
        <w:rPr>
          <w:rFonts w:ascii="Aptos" w:hAnsi="Aptos"/>
          <w:color w:val="000000"/>
          <w:sz w:val="22"/>
        </w:rPr>
        <w:t>5.</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Tenants' association statutes </w:t>
      </w:r>
    </w:p>
    <w:p>
      <w:pPr>
        <w:pStyle w:val="TextBody"/>
        <w:bidi w:val="0"/>
        <w:spacing w:before="0" w:after="160"/>
        <w:jc w:val="left"/>
        <w:rPr>
          <w:rFonts w:ascii="Aptos" w:hAnsi="Aptos"/>
          <w:color w:val="000000"/>
          <w:sz w:val="22"/>
        </w:rPr>
      </w:pPr>
      <w:r>
        <w:rPr>
          <w:rFonts w:ascii="Aptos" w:hAnsi="Aptos"/>
          <w:color w:val="000000"/>
          <w:sz w:val="22"/>
        </w:rPr>
        <w:t>6.</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Drawing parking spaces </w:t>
      </w:r>
    </w:p>
    <w:p>
      <w:pPr>
        <w:pStyle w:val="TextBody"/>
        <w:bidi w:val="0"/>
        <w:spacing w:before="0" w:after="160"/>
        <w:jc w:val="left"/>
        <w:rPr>
          <w:rFonts w:ascii="Aptos" w:hAnsi="Aptos"/>
          <w:color w:val="000000"/>
          <w:sz w:val="22"/>
        </w:rPr>
      </w:pPr>
      <w:r>
        <w:rPr>
          <w:rFonts w:ascii="Aptos" w:hAnsi="Aptos"/>
          <w:color w:val="000000"/>
          <w:sz w:val="22"/>
        </w:rPr>
        <w:t>7.</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Sign plan </w:t>
      </w:r>
    </w:p>
    <w:p>
      <w:pPr>
        <w:pStyle w:val="TextBody"/>
        <w:bidi w:val="0"/>
        <w:spacing w:before="0" w:after="160"/>
        <w:jc w:val="left"/>
        <w:rPr>
          <w:rFonts w:ascii="Aptos" w:hAnsi="Aptos"/>
          <w:color w:val="000000"/>
          <w:sz w:val="22"/>
        </w:rPr>
      </w:pPr>
      <w:r>
        <w:rPr>
          <w:rFonts w:ascii="Aptos" w:hAnsi="Aptos"/>
          <w:color w:val="000000"/>
          <w:sz w:val="22"/>
        </w:rPr>
        <w:t>8.</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Moving out stall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The original copy of the contract remains with the Landlord, with the Renter receiving a copy</w:t>
      </w:r>
    </w:p>
    <w:p>
      <w:pPr>
        <w:pStyle w:val="TextBody"/>
        <w:bidi w:val="0"/>
        <w:spacing w:before="0" w:after="160"/>
        <w:jc w:val="left"/>
        <w:rPr>
          <w:rFonts w:ascii="Times New Roman" w:hAnsi="Times New Roman"/>
          <w:sz w:val="20"/>
        </w:rPr>
      </w:pPr>
      <w:r>
        <w:rPr>
          <w:rFonts w:ascii="Aptos;sans-serif" w:hAnsi="Aptos;sans-serif"/>
          <w:color w:val="000000"/>
          <w:sz w:val="22"/>
        </w:rPr>
        <w:t>Hellerup, the , the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For the landlord: As a tenant: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u w:val="single"/>
        </w:rPr>
        <w:t>/s/ Nikolaj Stampe /s/Michael Wolff Jensen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u w:val="single"/>
        </w:rPr>
        <w:t>/s/ Thomas Ringstrøm /s/ Lotte Sønderbjerg</w:t>
      </w:r>
      <w:r>
        <w:rPr>
          <w:rFonts w:ascii="Times New Roman" w:hAnsi="Times New Roman"/>
          <w:color w:val="000000"/>
          <w:sz w:val="20"/>
        </w:rPr>
        <w:t xml:space="preserve"> </w:t>
      </w:r>
    </w:p>
    <w:p>
      <w:pPr>
        <w:pStyle w:val="TextBody"/>
        <w:bidi w:val="0"/>
        <w:spacing w:before="0" w:after="160"/>
        <w:jc w:val="left"/>
        <w:rPr/>
      </w:pPr>
      <w:r>
        <w:rPr/>
        <w:drawing>
          <wp:inline distT="0" distB="0" distL="0" distR="0">
            <wp:extent cx="2286000" cy="146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2"/>
                    <a:stretch>
                      <a:fillRect/>
                    </a:stretch>
                  </pic:blipFill>
                  <pic:spPr bwMode="auto">
                    <a:xfrm>
                      <a:off x="0" y="0"/>
                      <a:ext cx="2286000" cy="14605"/>
                    </a:xfrm>
                    <a:prstGeom prst="rect">
                      <a:avLst/>
                    </a:prstGeom>
                  </pic:spPr>
                </pic:pic>
              </a:graphicData>
            </a:graphic>
          </wp:inline>
        </w:drawing>
      </w:r>
      <w:r>
        <w:rPr/>
        <w:drawing>
          <wp:inline distT="0" distB="0" distL="0" distR="0">
            <wp:extent cx="2286000" cy="146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3"/>
                    <a:stretch>
                      <a:fillRect/>
                    </a:stretch>
                  </pic:blipFill>
                  <pic:spPr bwMode="auto">
                    <a:xfrm>
                      <a:off x="0" y="0"/>
                      <a:ext cx="2286000" cy="14605"/>
                    </a:xfrm>
                    <a:prstGeom prst="rect">
                      <a:avLst/>
                    </a:prstGeom>
                  </pic:spPr>
                </pic:pic>
              </a:graphicData>
            </a:graphic>
          </wp:inline>
        </w:drawing>
      </w:r>
      <w:r>
        <w:rPr>
          <w:color w:val="00000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Authorised to subscribe for Authorised to subscribe for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Tuborg Havnevej I/S Ascendis Pharma A/S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8" w:name="asnd-ex8_1.htm"/>
      <w:bookmarkStart w:id="49" w:name="ksasndex8_1"/>
      <w:bookmarkEnd w:id="48"/>
      <w:bookmarkEnd w:id="49"/>
      <w:r>
        <w:rPr>
          <w:rFonts w:ascii="Times New Roman" w:hAnsi="Times New Roman"/>
          <w:b/>
          <w:color w:val="000000"/>
          <w:sz w:val="20"/>
        </w:rPr>
        <w:t>Exhibit 8.1</w:t>
      </w:r>
      <w:r>
        <w:br w:type="page"/>
      </w:r>
    </w:p>
    <w:p>
      <w:pPr>
        <w:pStyle w:val="TextBody"/>
        <w:bidi w:val="0"/>
        <w:spacing w:before="0" w:after="240"/>
        <w:jc w:val="right"/>
        <w:rPr/>
      </w:pPr>
      <w:r>
        <w:rPr/>
        <w:t> </w:t>
      </w:r>
    </w:p>
    <w:tbl>
      <w:tblPr>
        <w:tblW w:w="6433" w:type="dxa"/>
        <w:jc w:val="left"/>
        <w:tblInd w:w="0" w:type="dxa"/>
        <w:tblLayout w:type="fixed"/>
        <w:tblCellMar>
          <w:top w:w="28" w:type="dxa"/>
          <w:left w:w="28" w:type="dxa"/>
          <w:bottom w:w="28" w:type="dxa"/>
          <w:right w:w="28" w:type="dxa"/>
        </w:tblCellMar>
      </w:tblPr>
      <w:tblGrid>
        <w:gridCol w:w="3976"/>
        <w:gridCol w:w="146"/>
        <w:gridCol w:w="23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u w:val="single"/>
              </w:rPr>
              <w:t>Jurisdiction of Incorporation</w:t>
            </w:r>
            <w:r>
              <w:rPr>
                <w:rFonts w:ascii="Times New Roman" w:hAnsi="Times New Roman"/>
                <w:color w:val="000000"/>
                <w:sz w:val="16"/>
              </w:rPr>
              <w:t xml:space="preserve">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USA</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USA</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Ophthalmology Division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Endocrinology Division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Bone Diseases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Growth Disorders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Oncology Division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Europe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UK,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Iberia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Ascendis Pharma France SASU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Italia S.R.L.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Italy</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Sverige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Sweden</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Switzerland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Switzerland</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Ascendis Pharma Belgium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Belgium</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ASND Portugal, Unipessoal, Lda.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Portugal</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50" w:name="asnd-ex11_1.htm"/>
      <w:bookmarkStart w:id="51" w:name="ksasndex11_1"/>
      <w:bookmarkEnd w:id="50"/>
      <w:bookmarkEnd w:id="51"/>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11.1</w:t>
      </w:r>
    </w:p>
    <w:p>
      <w:pPr>
        <w:pStyle w:val="TextBody"/>
        <w:bidi w:val="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283"/>
              <w:jc w:val="left"/>
              <w:rPr>
                <w:sz w:val="4"/>
                <w:szCs w:val="4"/>
              </w:rPr>
            </w:pPr>
            <w:r>
              <w:rPr>
                <w:sz w:val="4"/>
                <w:szCs w:val="4"/>
              </w:rPr>
            </w:r>
          </w:p>
        </w:tc>
      </w:tr>
      <w:tr>
        <w:trPr/>
        <w:tc>
          <w:tcPr>
            <w:tcW w:w="4081" w:type="dxa"/>
            <w:tcBorders>
              <w:top w:val="single" w:sz="8" w:space="0" w:color="008EB0"/>
              <w:bottom w:val="single" w:sz="8" w:space="0" w:color="008EB0"/>
            </w:tcBorders>
            <w:tcMar>
              <w:left w:w="0" w:type="dxa"/>
              <w:right w:w="0" w:type="dxa"/>
            </w:tcMar>
            <w:vAlign w:val="center"/>
          </w:tcPr>
          <w:p>
            <w:pPr>
              <w:pStyle w:val="TableContents"/>
              <w:bidi w:val="0"/>
              <w:spacing w:before="240" w:after="120"/>
              <w:jc w:val="left"/>
              <w:rPr>
                <w:rFonts w:ascii="Arial" w:hAnsi="Arial"/>
                <w:b/>
                <w:color w:val="44546A"/>
                <w:sz w:val="24"/>
              </w:rPr>
            </w:pPr>
            <w:r>
              <w:rPr>
                <w:rFonts w:ascii="Arial" w:hAnsi="Arial"/>
                <w:b/>
                <w:color w:val="44546A"/>
                <w:sz w:val="24"/>
              </w:rPr>
              <w:t>Insider Trading Compliance Policy</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Arial" w:hAnsi="Arial"/>
          <w:color w:val="008EB0"/>
          <w:sz w:val="24"/>
        </w:rPr>
      </w:pPr>
      <w:r>
        <w:rPr>
          <w:rFonts w:ascii="Arial" w:hAnsi="Arial"/>
          <w:color w:val="008EB0"/>
          <w:sz w:val="24"/>
        </w:rPr>
        <w:t>Contents</w:t>
      </w:r>
    </w:p>
    <w:tbl>
      <w:tblPr>
        <w:tblW w:w="8361" w:type="dxa"/>
        <w:jc w:val="left"/>
        <w:tblInd w:w="0" w:type="dxa"/>
        <w:tblLayout w:type="fixed"/>
        <w:tblCellMar>
          <w:top w:w="28" w:type="dxa"/>
          <w:left w:w="28" w:type="dxa"/>
          <w:bottom w:w="28" w:type="dxa"/>
          <w:right w:w="28" w:type="dxa"/>
        </w:tblCellMar>
      </w:tblPr>
      <w:tblGrid>
        <w:gridCol w:w="1525"/>
        <w:gridCol w:w="5446"/>
        <w:gridCol w:w="1390"/>
      </w:tblGrid>
      <w:tr>
        <w:trPr/>
        <w:tc>
          <w:tcPr>
            <w:tcW w:w="1525" w:type="dxa"/>
            <w:tcBorders/>
            <w:vAlign w:val="center"/>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ind w:left="0" w:right="0" w:firstLine="567"/>
              <w:jc w:val="left"/>
              <w:rPr>
                <w:sz w:val="4"/>
                <w:szCs w:val="4"/>
              </w:rPr>
            </w:pPr>
            <w:r>
              <w:rPr>
                <w:sz w:val="4"/>
                <w:szCs w:val="4"/>
              </w:rPr>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1</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Purpose</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2</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2</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Scope &amp; Definitions</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2</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3</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Applicability</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3</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4</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Explanation of “Insider Trading”</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4</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4.1</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What is Insider Trading?</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4</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4.2</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What information is “material”?</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4</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4.3</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What is “non-public” information?</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5</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4.4</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Who is an Insider?</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5</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5</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Procedures</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5</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5.1</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Supporting requirements</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right"/>
              <w:rPr>
                <w:rFonts w:ascii="Arial" w:hAnsi="Arial"/>
                <w:color w:val="000000"/>
                <w:sz w:val="20"/>
              </w:rPr>
            </w:pPr>
            <w:r>
              <w:rPr>
                <w:rFonts w:ascii="Arial" w:hAnsi="Arial"/>
                <w:color w:val="000000"/>
                <w:sz w:val="20"/>
              </w:rPr>
              <w:t>5</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1134"/>
              <w:jc w:val="left"/>
              <w:rPr>
                <w:rFonts w:ascii="Arial" w:hAnsi="Arial"/>
                <w:color w:val="000000"/>
                <w:sz w:val="20"/>
              </w:rPr>
            </w:pPr>
            <w:r>
              <w:rPr>
                <w:rFonts w:ascii="Arial" w:hAnsi="Arial"/>
                <w:color w:val="000000"/>
                <w:sz w:val="20"/>
              </w:rPr>
              <w:t>5.2</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Prohibition against Insider Trading</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7</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6</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Rule 10b5-1 Trading Plans</w:t>
            </w:r>
          </w:p>
        </w:tc>
        <w:tc>
          <w:tcPr>
            <w:tcW w:w="1390"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right"/>
              <w:rPr>
                <w:rFonts w:ascii="Arial" w:hAnsi="Arial"/>
                <w:color w:val="000000"/>
                <w:sz w:val="20"/>
              </w:rPr>
            </w:pPr>
            <w:r>
              <w:rPr>
                <w:rFonts w:ascii="Arial" w:hAnsi="Arial"/>
                <w:color w:val="000000"/>
                <w:sz w:val="20"/>
              </w:rPr>
              <w:t>10</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100"/>
              <w:ind w:left="0" w:right="0" w:firstLine="567"/>
              <w:jc w:val="left"/>
              <w:rPr>
                <w:rFonts w:ascii="Arial" w:hAnsi="Arial"/>
                <w:color w:val="000000"/>
                <w:sz w:val="20"/>
              </w:rPr>
            </w:pPr>
            <w:r>
              <w:rPr>
                <w:rFonts w:ascii="Arial" w:hAnsi="Arial"/>
                <w:color w:val="000000"/>
                <w:sz w:val="20"/>
              </w:rPr>
              <w:t>7</w:t>
            </w:r>
          </w:p>
        </w:tc>
        <w:tc>
          <w:tcPr>
            <w:tcW w:w="5446" w:type="dxa"/>
            <w:tcBorders/>
            <w:shd w:fill="FFFFFF" w:val="clear"/>
            <w:tcMar>
              <w:top w:w="0" w:type="dxa"/>
              <w:left w:w="0" w:type="dxa"/>
              <w:bottom w:w="0" w:type="dxa"/>
              <w:right w:w="0" w:type="dxa"/>
            </w:tcMar>
            <w:vAlign w:val="center"/>
          </w:tcPr>
          <w:p>
            <w:pPr>
              <w:pStyle w:val="TableContents"/>
              <w:bidi w:val="0"/>
              <w:spacing w:before="0" w:after="100"/>
              <w:jc w:val="left"/>
              <w:rPr>
                <w:rFonts w:ascii="Arial" w:hAnsi="Arial"/>
                <w:color w:val="000000"/>
                <w:sz w:val="20"/>
              </w:rPr>
            </w:pPr>
            <w:r>
              <w:rPr>
                <w:rFonts w:ascii="Arial" w:hAnsi="Arial"/>
                <w:color w:val="000000"/>
                <w:sz w:val="20"/>
              </w:rPr>
              <w:t>Interpretation, Amendment, and Implementation of this Policy</w:t>
            </w:r>
          </w:p>
        </w:tc>
        <w:tc>
          <w:tcPr>
            <w:tcW w:w="1390" w:type="dxa"/>
            <w:tcBorders/>
            <w:shd w:fill="FFFFFF" w:val="clear"/>
            <w:tcMar>
              <w:top w:w="0" w:type="dxa"/>
              <w:left w:w="0" w:type="dxa"/>
              <w:bottom w:w="0" w:type="dxa"/>
              <w:right w:w="0" w:type="dxa"/>
            </w:tcMar>
            <w:vAlign w:val="center"/>
          </w:tcPr>
          <w:p>
            <w:pPr>
              <w:pStyle w:val="TableContents"/>
              <w:bidi w:val="0"/>
              <w:spacing w:before="0" w:after="100"/>
              <w:jc w:val="right"/>
              <w:rPr>
                <w:rFonts w:ascii="Arial" w:hAnsi="Arial"/>
                <w:color w:val="000000"/>
                <w:sz w:val="20"/>
              </w:rPr>
            </w:pPr>
            <w:r>
              <w:rPr>
                <w:rFonts w:ascii="Arial" w:hAnsi="Arial"/>
                <w:color w:val="000000"/>
                <w:sz w:val="20"/>
              </w:rPr>
              <w:t>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240" w:after="120"/>
        <w:jc w:val="left"/>
        <w:rPr>
          <w:rFonts w:ascii="Times New Roman" w:hAnsi="Times New Roman"/>
          <w:sz w:val="20"/>
        </w:rPr>
      </w:pPr>
      <w:r>
        <w:rPr>
          <w:rFonts w:ascii="Arial" w:hAnsi="Arial"/>
          <w:b w:val="false"/>
          <w:color w:val="008EB0"/>
          <w:sz w:val="24"/>
        </w:rPr>
        <w:t>1 Purpose</w:t>
      </w:r>
      <w:r>
        <w:rPr>
          <w:rFonts w:ascii="Times New Roman" w:hAnsi="Times New Roman"/>
          <w:color w:val="008EB0"/>
          <w:sz w:val="20"/>
        </w:rPr>
        <w:t xml:space="preserve"> </w:t>
      </w:r>
    </w:p>
    <w:p>
      <w:pPr>
        <w:pStyle w:val="TextBody"/>
        <w:bidi w:val="0"/>
        <w:jc w:val="both"/>
        <w:rPr>
          <w:rFonts w:ascii="Arial" w:hAnsi="Arial"/>
          <w:color w:val="000000"/>
          <w:sz w:val="20"/>
        </w:rPr>
      </w:pPr>
      <w:r>
        <w:rPr>
          <w:rFonts w:ascii="Arial" w:hAnsi="Arial"/>
          <w:color w:val="000000"/>
          <w:sz w:val="20"/>
        </w:rPr>
        <w:t>Insider Trading is illegal for all individuals regardless of their country of residence. Individuals outside of the US may be prosecuted for violations of Insider Trading rules in the same way individuals in the US may be prosecuted.</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Insider Trading” occurs when any person purchases or sells a security (e.g., Company ordinary shares or American Depositary Shares (ADS) representing ordinary shares) while in possession of “material non-public information” relating to the security. Please see Section 3 below for more information on what constitutes information that is both “material” and “non-public”.</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Compliance with this Policy is crucial to abide by the laws and regulations, as well as preserve the reputation and integrity of Ascendis Pharma (the “</w:t>
      </w:r>
      <w:r>
        <w:rPr>
          <w:rFonts w:ascii="Arial" w:hAnsi="Arial"/>
          <w:b/>
          <w:color w:val="000000"/>
          <w:sz w:val="20"/>
        </w:rPr>
        <w:t>Company</w:t>
      </w:r>
      <w:r>
        <w:rPr>
          <w:rFonts w:ascii="Times New Roman" w:hAnsi="Times New Roman"/>
          <w:color w:val="000000"/>
          <w:sz w:val="20"/>
        </w:rPr>
        <w:t>”</w:t>
      </w:r>
      <w:r>
        <w:rPr>
          <w:rFonts w:ascii="Arial" w:hAnsi="Arial"/>
          <w:color w:val="000000"/>
          <w:sz w:val="20"/>
        </w:rPr>
        <w:t>) and to protect individuals against violating Insider Trading rules and risking criminal charges.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purpose of this Insider Trading Compliance Policy (the “</w:t>
      </w:r>
      <w:r>
        <w:rPr>
          <w:rFonts w:ascii="Arial" w:hAnsi="Arial"/>
          <w:b/>
          <w:color w:val="000000"/>
          <w:sz w:val="20"/>
        </w:rPr>
        <w:t>Policy</w:t>
      </w:r>
      <w:r>
        <w:rPr>
          <w:rFonts w:ascii="Times New Roman" w:hAnsi="Times New Roman"/>
          <w:color w:val="000000"/>
          <w:sz w:val="20"/>
        </w:rPr>
        <w:t>”</w:t>
      </w:r>
      <w:r>
        <w:rPr>
          <w:rFonts w:ascii="Arial" w:hAnsi="Arial"/>
          <w:color w:val="000000"/>
          <w:sz w:val="20"/>
        </w:rPr>
        <w:t>) is to outline your responsibilities to avoid insider trading and implement certain procedures to help you avoid even the appearance of insider trading.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Violation of the Policy by Ascendis Pharma Individuals may cause disciplinary actions, including potentially termination of employment. Further, violations may be reported to relevant law enforcement authorities.</w:t>
      </w:r>
      <w:r>
        <w:rPr>
          <w:rFonts w:ascii="Times New Roman" w:hAnsi="Times New Roman"/>
          <w:color w:val="000000"/>
          <w:sz w:val="20"/>
        </w:rPr>
        <w:t xml:space="preserve"> </w:t>
      </w:r>
    </w:p>
    <w:p>
      <w:pPr>
        <w:pStyle w:val="Heading1"/>
        <w:bidi w:val="0"/>
        <w:spacing w:before="240" w:after="120"/>
        <w:jc w:val="left"/>
        <w:rPr>
          <w:rFonts w:ascii="Arial" w:hAnsi="Arial"/>
          <w:b w:val="false"/>
          <w:color w:val="008EB0"/>
          <w:sz w:val="24"/>
        </w:rPr>
      </w:pPr>
      <w:r>
        <w:rPr>
          <w:rFonts w:ascii="Arial" w:hAnsi="Arial"/>
          <w:b w:val="false"/>
          <w:color w:val="008EB0"/>
          <w:sz w:val="24"/>
        </w:rPr>
        <w:t>2 Scope &amp; Definitions</w:t>
      </w:r>
    </w:p>
    <w:p>
      <w:pPr>
        <w:pStyle w:val="TextBody"/>
        <w:bidi w:val="0"/>
        <w:jc w:val="left"/>
        <w:rPr>
          <w:rFonts w:ascii="Arial" w:hAnsi="Arial"/>
          <w:color w:val="000000"/>
          <w:sz w:val="20"/>
        </w:rPr>
      </w:pPr>
      <w:r>
        <w:rPr>
          <w:rFonts w:ascii="Arial" w:hAnsi="Arial"/>
          <w:color w:val="000000"/>
          <w:sz w:val="20"/>
        </w:rPr>
        <w:t>In addition to the above, certain definitions used in this Policy: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7"/>
        <w:gridCol w:w="7668"/>
      </w:tblGrid>
      <w:tr>
        <w:trPr/>
        <w:tc>
          <w:tcPr>
            <w:tcW w:w="2537" w:type="dxa"/>
            <w:tcBorders/>
            <w:vAlign w:val="center"/>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r>
      <w:tr>
        <w:trPr/>
        <w:tc>
          <w:tcPr>
            <w:tcW w:w="2537" w:type="dxa"/>
            <w:tcBorders>
              <w:top w:val="single" w:sz="4" w:space="0" w:color="008EB0"/>
              <w:bottom w:val="single" w:sz="8" w:space="0" w:color="008EB0"/>
            </w:tcBorders>
            <w:tcMar>
              <w:top w:w="58"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Ascendis Pharma</w:t>
            </w:r>
          </w:p>
        </w:tc>
        <w:tc>
          <w:tcPr>
            <w:tcW w:w="7668" w:type="dxa"/>
            <w:tcBorders>
              <w:top w:val="single" w:sz="4" w:space="0" w:color="008EB0"/>
              <w:bottom w:val="single" w:sz="8" w:space="0" w:color="008EB0"/>
            </w:tcBorders>
            <w:tcMar>
              <w:top w:w="58"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Ascendis Pharma A/S and subsidiaries of Ascendis Pharma A/S.</w:t>
            </w:r>
          </w:p>
        </w:tc>
      </w:tr>
      <w:tr>
        <w:trPr/>
        <w:tc>
          <w:tcPr>
            <w:tcW w:w="2537"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Ascendis Pharma Individuals</w:t>
            </w:r>
          </w:p>
        </w:tc>
        <w:tc>
          <w:tcPr>
            <w:tcW w:w="7668"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officers, board members, employees and Eligible Consultants of Ascendis Pharma and its subsidiaries.</w:t>
            </w:r>
          </w:p>
        </w:tc>
      </w:tr>
      <w:tr>
        <w:trPr/>
        <w:tc>
          <w:tcPr>
            <w:tcW w:w="2537"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Eligible Consultants</w:t>
            </w:r>
          </w:p>
        </w:tc>
        <w:tc>
          <w:tcPr>
            <w:tcW w:w="7668"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Consultants who have been i) assigned an@ascendispharma.com e-mail address, ii) granted access to the Ascendis Pharma intranet, or iii) granted an access card allowing unaccompanied access to the premises of Ascendis Pharma, whether appointed directly by Ascendis Pharma or through their employment with consultancy service providers retained by Ascendis Pharma, or iv) identified by Ascendis Pharma’s Chief Legal Officer.</w:t>
            </w:r>
          </w:p>
        </w:tc>
      </w:tr>
      <w:tr>
        <w:trPr/>
        <w:tc>
          <w:tcPr>
            <w:tcW w:w="2537"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Event-Specific Blackout</w:t>
            </w:r>
          </w:p>
        </w:tc>
        <w:tc>
          <w:tcPr>
            <w:tcW w:w="7668"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Please refer to section 5.2 of this Policy.</w:t>
            </w:r>
          </w:p>
        </w:tc>
      </w:tr>
      <w:tr>
        <w:trPr/>
        <w:tc>
          <w:tcPr>
            <w:tcW w:w="2537" w:type="dxa"/>
            <w:tcBorders>
              <w:bottom w:val="single" w:sz="8" w:space="0" w:color="008EB0"/>
            </w:tcBorders>
            <w:tcMar>
              <w:top w:w="0" w:type="dxa"/>
              <w:left w:w="0" w:type="dxa"/>
              <w:bottom w:w="58" w:type="dxa"/>
              <w:right w:w="0" w:type="dxa"/>
            </w:tcMar>
            <w:vAlign w:val="center"/>
          </w:tcPr>
          <w:p>
            <w:pPr>
              <w:pStyle w:val="TableContents"/>
              <w:bidi w:val="0"/>
              <w:spacing w:before="0" w:after="283"/>
              <w:ind w:left="0" w:right="0" w:firstLine="1080"/>
              <w:jc w:val="left"/>
              <w:rPr>
                <w:rFonts w:ascii="Arial" w:hAnsi="Arial"/>
                <w:b/>
                <w:color w:val="000000"/>
                <w:sz w:val="20"/>
              </w:rPr>
            </w:pPr>
            <w:r>
              <w:rPr>
                <w:rFonts w:ascii="Arial" w:hAnsi="Arial"/>
                <w:b/>
                <w:color w:val="000000"/>
                <w:sz w:val="20"/>
              </w:rPr>
              <w:t>Excluded Transactions</w:t>
            </w:r>
          </w:p>
        </w:tc>
        <w:tc>
          <w:tcPr>
            <w:tcW w:w="7668" w:type="dxa"/>
            <w:tcBorders>
              <w:bottom w:val="single" w:sz="8" w:space="0" w:color="008EB0"/>
            </w:tcBorders>
            <w:tcMar>
              <w:top w:w="0" w:type="dxa"/>
              <w:left w:w="0" w:type="dxa"/>
              <w:bottom w:w="58" w:type="dxa"/>
              <w:right w:w="0" w:type="dxa"/>
            </w:tcMar>
            <w:vAlign w:val="center"/>
          </w:tcPr>
          <w:p>
            <w:pPr>
              <w:pStyle w:val="TableContents"/>
              <w:bidi w:val="0"/>
              <w:ind w:left="0" w:right="0" w:firstLine="1080"/>
              <w:jc w:val="left"/>
              <w:rPr>
                <w:rFonts w:ascii="Arial" w:hAnsi="Arial"/>
                <w:color w:val="000000"/>
                <w:sz w:val="20"/>
              </w:rPr>
            </w:pPr>
            <w:r>
              <w:rPr>
                <w:rFonts w:ascii="Arial" w:hAnsi="Arial"/>
                <w:color w:val="000000"/>
                <w:sz w:val="20"/>
              </w:rPr>
              <w:t>i) entering into a deposit arrangement with a depositary for purposes of receiving ADSs from the depositary in respect of ordinary shares or warrants or other equity awards exercisable for ordinary shares,</w:t>
            </w:r>
          </w:p>
          <w:p>
            <w:pPr>
              <w:pStyle w:val="TableContents"/>
              <w:bidi w:val="0"/>
              <w:ind w:left="0" w:right="0" w:firstLine="1080"/>
              <w:jc w:val="left"/>
              <w:rPr>
                <w:rFonts w:ascii="Arial" w:hAnsi="Arial"/>
                <w:color w:val="000000"/>
                <w:sz w:val="20"/>
              </w:rPr>
            </w:pPr>
            <w:r>
              <w:rPr>
                <w:rFonts w:ascii="Arial" w:hAnsi="Arial"/>
                <w:color w:val="000000"/>
                <w:sz w:val="20"/>
              </w:rPr>
              <w:t>ii) exercises of warrants or other equity awards, or the surrender of shares to Ascendis Pharma in payment of the exercise price or in satisfaction of any tax withholding obligations or vesting of equity-based awards that do not involve a market sale of Ascendis Pharma’s securities,</w:t>
            </w:r>
          </w:p>
          <w:p>
            <w:pPr>
              <w:pStyle w:val="TableContents"/>
              <w:bidi w:val="0"/>
              <w:ind w:left="0" w:right="0" w:firstLine="1080"/>
              <w:jc w:val="left"/>
              <w:rPr>
                <w:rFonts w:ascii="Arial" w:hAnsi="Arial"/>
                <w:color w:val="000000"/>
                <w:sz w:val="20"/>
              </w:rPr>
            </w:pPr>
            <w:r>
              <w:rPr>
                <w:rFonts w:ascii="Arial" w:hAnsi="Arial"/>
                <w:color w:val="000000"/>
                <w:sz w:val="20"/>
              </w:rPr>
              <w:t>iii) purchases of Ascendis Pharma’s securities from Ascendis Pharma or sales of Ascendis Pharma’s securities to Ascendis Pharma,</w:t>
            </w:r>
          </w:p>
          <w:p>
            <w:pPr>
              <w:pStyle w:val="TableContents"/>
              <w:bidi w:val="0"/>
              <w:spacing w:before="0" w:after="283"/>
              <w:ind w:left="0" w:right="0" w:firstLine="1080"/>
              <w:jc w:val="left"/>
              <w:rPr>
                <w:rFonts w:ascii="Times New Roman" w:hAnsi="Times New Roman"/>
                <w:sz w:val="20"/>
              </w:rPr>
            </w:pPr>
            <w:r>
              <w:rPr>
                <w:rFonts w:ascii="Arial" w:hAnsi="Arial"/>
                <w:color w:val="000000"/>
                <w:sz w:val="20"/>
              </w:rPr>
              <w:t>iv) a plan adopted to comply with the Exchange Act Rule 10b5-1 (“</w:t>
            </w:r>
            <w:r>
              <w:rPr>
                <w:rFonts w:ascii="Arial" w:hAnsi="Arial"/>
                <w:b/>
                <w:color w:val="000000"/>
                <w:sz w:val="20"/>
              </w:rPr>
              <w:t>Rule 10b5-1</w:t>
            </w:r>
            <w:r>
              <w:rPr>
                <w:rFonts w:ascii="Times New Roman" w:hAnsi="Times New Roman"/>
                <w:color w:val="000000"/>
                <w:sz w:val="20"/>
              </w:rPr>
              <w:t>”</w:t>
            </w:r>
            <w:r>
              <w:rPr>
                <w:rFonts w:ascii="Arial" w:hAnsi="Arial"/>
                <w:color w:val="000000"/>
                <w:sz w:val="20"/>
              </w:rPr>
              <w:t>), and</w:t>
            </w:r>
          </w:p>
        </w:tc>
      </w:tr>
    </w:tbl>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2/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1"/>
        <w:gridCol w:w="8854"/>
      </w:tblGrid>
      <w:tr>
        <w:trPr/>
        <w:tc>
          <w:tcPr>
            <w:tcW w:w="1351"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8" w:space="0" w:color="008EB0"/>
              <w:bottom w:val="single" w:sz="8" w:space="0" w:color="008EB0"/>
            </w:tcBorders>
            <w:tcMar>
              <w:top w:w="58" w:type="dxa"/>
              <w:left w:w="0" w:type="dxa"/>
              <w:bottom w:w="58" w:type="dxa"/>
              <w:right w:w="0" w:type="dxa"/>
            </w:tcMar>
            <w:vAlign w:val="center"/>
          </w:tcPr>
          <w:p>
            <w:pPr>
              <w:pStyle w:val="TableContents"/>
              <w:bidi w:val="0"/>
              <w:spacing w:before="0" w:after="283"/>
              <w:ind w:left="0" w:right="0" w:firstLine="1080"/>
              <w:jc w:val="left"/>
              <w:rPr/>
            </w:pPr>
            <w:r>
              <w:rPr/>
              <w:t> </w:t>
            </w:r>
          </w:p>
        </w:tc>
        <w:tc>
          <w:tcPr>
            <w:tcW w:w="8854" w:type="dxa"/>
            <w:tcBorders>
              <w:top w:val="single" w:sz="8" w:space="0" w:color="008EB0"/>
              <w:bottom w:val="single" w:sz="8" w:space="0" w:color="008EB0"/>
            </w:tcBorders>
            <w:tcMar>
              <w:top w:w="58" w:type="dxa"/>
              <w:left w:w="0" w:type="dxa"/>
              <w:bottom w:w="58" w:type="dxa"/>
              <w:right w:w="0" w:type="dxa"/>
            </w:tcMar>
            <w:vAlign w:val="center"/>
          </w:tcPr>
          <w:p>
            <w:pPr>
              <w:pStyle w:val="TableContents"/>
              <w:bidi w:val="0"/>
              <w:spacing w:before="0" w:after="283"/>
              <w:ind w:left="0" w:right="0" w:firstLine="1080"/>
              <w:jc w:val="left"/>
              <w:rPr>
                <w:rFonts w:ascii="Arial" w:hAnsi="Arial"/>
                <w:color w:val="000000"/>
                <w:sz w:val="20"/>
              </w:rPr>
            </w:pPr>
            <w:r>
              <w:rPr>
                <w:rFonts w:ascii="Arial" w:hAnsi="Arial"/>
                <w:color w:val="000000"/>
                <w:sz w:val="20"/>
              </w:rPr>
              <w:t>v) Sell-to-cover-tax transactions that are enforced automatically upon vesting of equity awards, when this is governed by the relevant equity plan rules and necessary in order to comply with tax withholding requirements.</w:t>
            </w:r>
          </w:p>
        </w:tc>
      </w:tr>
      <w:tr>
        <w:trPr/>
        <w:tc>
          <w:tcPr>
            <w:tcW w:w="1351"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Insider</w:t>
            </w:r>
          </w:p>
        </w:tc>
        <w:tc>
          <w:tcPr>
            <w:tcW w:w="8854"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Ascendis Pharma Individuals and anyone else within Ascendis Pharma, or its subsidiaries, who has material, non-public information about Ascendis Pharma and its activities.</w:t>
            </w:r>
          </w:p>
        </w:tc>
      </w:tr>
      <w:tr>
        <w:trPr/>
        <w:tc>
          <w:tcPr>
            <w:tcW w:w="1351"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Insider Trading</w:t>
            </w:r>
          </w:p>
        </w:tc>
        <w:tc>
          <w:tcPr>
            <w:tcW w:w="8854"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Refers to the purchase or sale of a security by a person who is in possession of “material”, “non-public” information relating to the security, see further explanation in section 4.</w:t>
            </w:r>
          </w:p>
        </w:tc>
      </w:tr>
      <w:tr>
        <w:trPr/>
        <w:tc>
          <w:tcPr>
            <w:tcW w:w="1351"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SEC</w:t>
            </w:r>
          </w:p>
        </w:tc>
        <w:tc>
          <w:tcPr>
            <w:tcW w:w="8854"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U.S. Securities and Exchange Commission.</w:t>
            </w:r>
          </w:p>
        </w:tc>
      </w:tr>
      <w:tr>
        <w:trPr/>
        <w:tc>
          <w:tcPr>
            <w:tcW w:w="1351"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Securities</w:t>
              <w:br/>
            </w:r>
            <w:r>
              <w:rPr>
                <w:rFonts w:ascii="Times New Roman" w:hAnsi="Times New Roman"/>
                <w:color w:val="000000"/>
                <w:sz w:val="20"/>
              </w:rPr>
              <w:t> </w:t>
            </w:r>
          </w:p>
        </w:tc>
        <w:tc>
          <w:tcPr>
            <w:tcW w:w="8854" w:type="dxa"/>
            <w:tcBorders>
              <w:bottom w:val="single" w:sz="8" w:space="0" w:color="008EB0"/>
            </w:tcBorders>
            <w:tcMar>
              <w:top w:w="0" w:type="dxa"/>
              <w:left w:w="0" w:type="dxa"/>
              <w:bottom w:w="58"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Includes ordinary shares, American Depositary Shares (“</w:t>
            </w:r>
            <w:r>
              <w:rPr>
                <w:rFonts w:ascii="Arial" w:hAnsi="Arial"/>
                <w:b/>
                <w:color w:val="000000"/>
                <w:sz w:val="20"/>
              </w:rPr>
              <w:t>ADSs</w:t>
            </w:r>
            <w:r>
              <w:rPr>
                <w:rFonts w:ascii="Times New Roman" w:hAnsi="Times New Roman"/>
                <w:color w:val="000000"/>
                <w:sz w:val="20"/>
              </w:rPr>
              <w:t>”</w:t>
            </w:r>
            <w:r>
              <w:rPr>
                <w:rFonts w:ascii="Arial" w:hAnsi="Arial"/>
                <w:color w:val="000000"/>
                <w:sz w:val="20"/>
              </w:rPr>
              <w:t>) representing ordinary shares, stocks, bonds, notes, debentures, options, warrants, equity and other convertible securities, as well as derivative instruments.</w:t>
            </w:r>
          </w:p>
        </w:tc>
      </w:tr>
      <w:tr>
        <w:trPr/>
        <w:tc>
          <w:tcPr>
            <w:tcW w:w="1351" w:type="dxa"/>
            <w:tcBorders>
              <w:bottom w:val="single" w:sz="4" w:space="0" w:color="008EB0"/>
            </w:tcBorders>
            <w:tcMar>
              <w:top w:w="0" w:type="dxa"/>
              <w:left w:w="0" w:type="dxa"/>
              <w:bottom w:w="58"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Trading Plan</w:t>
            </w:r>
          </w:p>
        </w:tc>
        <w:tc>
          <w:tcPr>
            <w:tcW w:w="8854" w:type="dxa"/>
            <w:tcBorders>
              <w:bottom w:val="single" w:sz="4" w:space="0" w:color="008EB0"/>
            </w:tcBorders>
            <w:tcMar>
              <w:top w:w="0" w:type="dxa"/>
              <w:left w:w="0" w:type="dxa"/>
              <w:bottom w:w="5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Transactions under a previously established contract, plan or instruction to trade in Ascendis Pharma’s Securities entered into in accordance with Rule 10b5-1.</w:t>
            </w:r>
          </w:p>
        </w:tc>
      </w:tr>
    </w:tbl>
    <w:p>
      <w:pPr>
        <w:pStyle w:val="TextBody"/>
        <w:bidi w:val="0"/>
        <w:jc w:val="left"/>
        <w:rPr/>
      </w:pPr>
      <w:r>
        <w:rPr/>
        <w:t> </w:t>
      </w:r>
    </w:p>
    <w:p>
      <w:pPr>
        <w:pStyle w:val="Heading1"/>
        <w:bidi w:val="0"/>
        <w:spacing w:before="240" w:after="120"/>
        <w:jc w:val="left"/>
        <w:rPr>
          <w:rFonts w:ascii="Arial" w:hAnsi="Arial"/>
          <w:b w:val="false"/>
          <w:color w:val="008EB0"/>
          <w:sz w:val="24"/>
        </w:rPr>
      </w:pPr>
      <w:r>
        <w:rPr>
          <w:rFonts w:ascii="Arial" w:hAnsi="Arial"/>
          <w:b w:val="false"/>
          <w:color w:val="008EB0"/>
          <w:sz w:val="24"/>
        </w:rPr>
        <w:t>3 Applicability</w:t>
      </w:r>
    </w:p>
    <w:p>
      <w:pPr>
        <w:pStyle w:val="TextBody"/>
        <w:bidi w:val="0"/>
        <w:jc w:val="both"/>
        <w:rPr>
          <w:rFonts w:ascii="Arial" w:hAnsi="Arial"/>
          <w:color w:val="000000"/>
          <w:sz w:val="20"/>
        </w:rPr>
      </w:pPr>
      <w:r>
        <w:rPr>
          <w:rFonts w:ascii="Arial" w:hAnsi="Arial"/>
          <w:color w:val="000000"/>
          <w:sz w:val="20"/>
        </w:rPr>
        <w:t>This Policy applies to all Ascendis Pharma Individuals.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Ascendis Pharma Individuals are responsible for ensuring that members of their household also comply with this Policy. This includes family members residing with Ascendis Pharma Individuals, anyone else living in the same household as an Ascendis Pharma Individual, and any family members not living with Ascendis Pharma Individuals whose transactions in Ascendis Pharma’s Securities are directed by Ascendis Pharma Individuals, or subject to their influence and control. This Policy also applies to any entities controlled by Ascendis Pharma Individuals, including any limited liability companies, corporations, partnerships, or trusts, and transactions by these entities should be treated for the purposes of this Policy and applicable securities laws as if they were for the account of an Ascendis Pharma Individual.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For purposes of clarity, this Policy, including, without limitation, the preclearance policy, blackout periods and prohibited transactions, does not apply to venture capital entities or other institutional investors that may be affiliated with a board member of Ascendis Pharma or for Company equity securities that a board member may be deemed to have beneficial ownership by virtue of such affiliation.</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For purposes of clarity, with the exception of the preclearance requirement, this Policy continues to apply to transactions in Ascendis Pharma’s Securities even after termination of service to Ascendis Pharma. If you are in possession of material non-public information when your service terminates, you may not trade in Ascendis Pharma’s Securities until that information has become public or is no longer material.</w:t>
      </w:r>
    </w:p>
    <w:p>
      <w:pPr>
        <w:pStyle w:val="Heading1"/>
        <w:bidi w:val="0"/>
        <w:spacing w:before="240" w:after="120"/>
        <w:jc w:val="left"/>
        <w:rPr>
          <w:rFonts w:ascii="Arial" w:hAnsi="Arial"/>
          <w:b w:val="false"/>
          <w:color w:val="008EB0"/>
          <w:sz w:val="24"/>
        </w:rPr>
      </w:pPr>
      <w:r>
        <w:rPr>
          <w:rFonts w:ascii="Arial" w:hAnsi="Arial"/>
          <w:b w:val="false"/>
          <w:color w:val="008EB0"/>
          <w:sz w:val="24"/>
        </w:rPr>
        <w:t>4 Explanation of “Insider Trading”</w:t>
      </w:r>
    </w:p>
    <w:p>
      <w:pPr>
        <w:pStyle w:val="Heading2"/>
        <w:bidi w:val="0"/>
        <w:spacing w:before="0" w:after="120"/>
        <w:jc w:val="left"/>
        <w:rPr>
          <w:rFonts w:ascii="Arial" w:hAnsi="Arial"/>
          <w:b w:val="false"/>
          <w:color w:val="008EB0"/>
          <w:sz w:val="22"/>
        </w:rPr>
      </w:pPr>
      <w:r>
        <w:rPr>
          <w:rFonts w:ascii="Arial" w:hAnsi="Arial"/>
          <w:b w:val="false"/>
          <w:color w:val="008EB0"/>
          <w:sz w:val="22"/>
        </w:rPr>
        <w:t>4.1 What is Insider Trading?</w:t>
      </w:r>
    </w:p>
    <w:p>
      <w:pPr>
        <w:pStyle w:val="TextBody"/>
        <w:bidi w:val="0"/>
        <w:jc w:val="both"/>
        <w:rPr>
          <w:color w:val="000000"/>
        </w:rPr>
      </w:pPr>
      <w:r>
        <w:rPr>
          <w:color w:val="000000"/>
        </w:rPr>
        <w:t>“</w:t>
      </w:r>
      <w:r>
        <w:rPr>
          <w:rFonts w:ascii="Arial" w:hAnsi="Arial"/>
          <w:color w:val="000000"/>
          <w:sz w:val="20"/>
        </w:rPr>
        <w:t>Insider Trading” refers to the purchase or sale of a Security by a person while in possession of “material”, “non-public” information relating to that security. Insider trading is illegal and governed by US securities laws.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3/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color w:val="000000"/>
        </w:rPr>
      </w:pPr>
      <w:r>
        <w:rPr>
          <w:color w:val="000000"/>
        </w:rPr>
        <w:t>“</w:t>
      </w:r>
      <w:r>
        <w:rPr>
          <w:rFonts w:ascii="Arial" w:hAnsi="Arial"/>
          <w:color w:val="000000"/>
          <w:sz w:val="20"/>
        </w:rPr>
        <w:t>Purchase” and “sale” are defined broadly under applicable US securities laws.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cash-for-share transactions, conversions, the exercise of warrants, transfers, gifts and acquisitions and exercises of options or puts, calls or other derivative securities.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laws and regulations concerning insider trading are complex, and if Ascendis Pharma Individuals are in doubt they are encouraged to seek guidance from the Chief Legal Officer prior to considering a transaction in Company Securities.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It is generally understood that Insider Trading includes the following:</w:t>
      </w:r>
    </w:p>
    <w:p>
      <w:pPr>
        <w:pStyle w:val="TextBody"/>
        <w:bidi w:val="0"/>
        <w:jc w:val="both"/>
        <w:rPr/>
      </w:pPr>
      <w:r>
        <w:rPr/>
        <w:t> </w:t>
      </w:r>
    </w:p>
    <w:p>
      <w:pPr>
        <w:pStyle w:val="TextBody"/>
        <w:bidi w:val="0"/>
        <w:jc w:val="both"/>
        <w:rPr/>
      </w:pPr>
      <w:r>
        <w:rPr>
          <w:color w:val="000000"/>
        </w:rPr>
        <w:t xml:space="preserve"> </w:t>
      </w:r>
      <w:r>
        <w:rPr>
          <w:rFonts w:ascii="Arial" w:hAnsi="Arial"/>
          <w:color w:val="000000"/>
          <w:sz w:val="20"/>
        </w:rPr>
        <w:t>trading by Insiders while in possession of material, non-public information;</w:t>
      </w:r>
    </w:p>
    <w:p>
      <w:pPr>
        <w:pStyle w:val="TextBody"/>
        <w:bidi w:val="0"/>
        <w:jc w:val="both"/>
        <w:rPr/>
      </w:pPr>
      <w:r>
        <w:rPr>
          <w:color w:val="000000"/>
        </w:rPr>
        <w:t xml:space="preserve"> </w:t>
      </w:r>
      <w:r>
        <w:rPr>
          <w:rFonts w:ascii="Arial" w:hAnsi="Arial"/>
          <w:color w:val="000000"/>
          <w:sz w:val="20"/>
        </w:rPr>
        <w:t>trading by persons other than Insiders while in possession of material, non-public information, if the information either was given in breach of an Insider’s duty to keep it confidential or was misappropriated; and</w:t>
      </w:r>
    </w:p>
    <w:p>
      <w:pPr>
        <w:pStyle w:val="TextBody"/>
        <w:bidi w:val="0"/>
        <w:jc w:val="both"/>
        <w:rPr/>
      </w:pPr>
      <w:r>
        <w:rPr>
          <w:color w:val="000000"/>
        </w:rPr>
        <w:t xml:space="preserve"> </w:t>
      </w:r>
      <w:r>
        <w:rPr>
          <w:rFonts w:ascii="Arial" w:hAnsi="Arial"/>
          <w:color w:val="000000"/>
          <w:sz w:val="20"/>
        </w:rPr>
        <w:t>communicating or tipping material, non-public information to others, including recommending the purchase or sale of a security while in possession of such information.</w:t>
      </w:r>
    </w:p>
    <w:p>
      <w:pPr>
        <w:pStyle w:val="TextBody"/>
        <w:bidi w:val="0"/>
        <w:jc w:val="left"/>
        <w:rPr/>
      </w:pPr>
      <w:r>
        <w:rPr/>
        <w:t> </w:t>
      </w:r>
    </w:p>
    <w:p>
      <w:pPr>
        <w:pStyle w:val="Heading2"/>
        <w:bidi w:val="0"/>
        <w:spacing w:before="40" w:after="120"/>
        <w:jc w:val="left"/>
        <w:rPr>
          <w:rFonts w:ascii="Arial" w:hAnsi="Arial"/>
          <w:b w:val="false"/>
          <w:color w:val="008EB0"/>
          <w:sz w:val="22"/>
        </w:rPr>
      </w:pPr>
      <w:r>
        <w:rPr>
          <w:rFonts w:ascii="Arial" w:hAnsi="Arial"/>
          <w:b w:val="false"/>
          <w:color w:val="008EB0"/>
          <w:sz w:val="22"/>
        </w:rPr>
        <w:t>4.2 What information is “material”?</w:t>
      </w:r>
    </w:p>
    <w:p>
      <w:pPr>
        <w:pStyle w:val="TextBody"/>
        <w:bidi w:val="0"/>
        <w:jc w:val="both"/>
        <w:rPr>
          <w:rFonts w:ascii="Times New Roman" w:hAnsi="Times New Roman"/>
          <w:sz w:val="20"/>
        </w:rPr>
      </w:pPr>
      <w:r>
        <w:rPr>
          <w:rFonts w:ascii="Arial" w:hAnsi="Arial"/>
          <w:color w:val="000000"/>
          <w:sz w:val="20"/>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Material information can be positive or negative and can relate to virtually any aspect of a company’s business or to any type of security, debt or equity.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Also, information that something is likely to happen in the future — or even just that it may happen —could be deemed material.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Examples of material information include (but are </w:t>
      </w:r>
      <w:r>
        <w:rPr>
          <w:rFonts w:ascii="Arial" w:hAnsi="Arial"/>
          <w:color w:val="000000"/>
          <w:sz w:val="20"/>
          <w:u w:val="single"/>
        </w:rPr>
        <w:t>not</w:t>
      </w:r>
      <w:r>
        <w:rPr>
          <w:rFonts w:ascii="Times New Roman" w:hAnsi="Times New Roman"/>
          <w:color w:val="000000"/>
          <w:sz w:val="20"/>
        </w:rPr>
        <w:t xml:space="preserve"> </w:t>
      </w:r>
      <w:r>
        <w:rPr>
          <w:rFonts w:ascii="Arial" w:hAnsi="Arial"/>
          <w:color w:val="000000"/>
          <w:sz w:val="20"/>
        </w:rPr>
        <w:t>limited to) information about: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 xml:space="preserve"> </w:t>
      </w:r>
      <w:r>
        <w:rPr>
          <w:rFonts w:ascii="Arial" w:hAnsi="Arial"/>
          <w:color w:val="000000"/>
          <w:sz w:val="20"/>
        </w:rPr>
        <w:t>the results of clinical trials;</w:t>
      </w:r>
    </w:p>
    <w:p>
      <w:pPr>
        <w:pStyle w:val="TextBody"/>
        <w:bidi w:val="0"/>
        <w:jc w:val="both"/>
        <w:rPr/>
      </w:pPr>
      <w:r>
        <w:rPr>
          <w:color w:val="000000"/>
        </w:rPr>
        <w:t xml:space="preserve"> </w:t>
      </w:r>
      <w:r>
        <w:rPr>
          <w:rFonts w:ascii="Arial" w:hAnsi="Arial"/>
          <w:color w:val="000000"/>
          <w:sz w:val="20"/>
        </w:rPr>
        <w:t>communications sent to, or received from, the European Medicines Agency or the U.S. Food and Drug Administration, or any other marketing authorization government body;</w:t>
      </w:r>
    </w:p>
    <w:p>
      <w:pPr>
        <w:pStyle w:val="TextBody"/>
        <w:bidi w:val="0"/>
        <w:jc w:val="both"/>
        <w:rPr/>
      </w:pPr>
      <w:r>
        <w:rPr>
          <w:color w:val="000000"/>
        </w:rPr>
        <w:t xml:space="preserve"> </w:t>
      </w:r>
      <w:r>
        <w:rPr>
          <w:rFonts w:ascii="Arial" w:hAnsi="Arial"/>
          <w:color w:val="000000"/>
          <w:sz w:val="20"/>
        </w:rPr>
        <w:t>dividends;</w:t>
      </w:r>
    </w:p>
    <w:p>
      <w:pPr>
        <w:pStyle w:val="TextBody"/>
        <w:bidi w:val="0"/>
        <w:jc w:val="both"/>
        <w:rPr/>
      </w:pPr>
      <w:r>
        <w:rPr>
          <w:color w:val="000000"/>
        </w:rPr>
        <w:t xml:space="preserve"> </w:t>
      </w:r>
      <w:r>
        <w:rPr>
          <w:rFonts w:ascii="Arial" w:hAnsi="Arial"/>
          <w:color w:val="000000"/>
          <w:sz w:val="20"/>
        </w:rPr>
        <w:t>corporate earnings or earnings forecasts;</w:t>
      </w:r>
    </w:p>
    <w:p>
      <w:pPr>
        <w:pStyle w:val="TextBody"/>
        <w:bidi w:val="0"/>
        <w:jc w:val="both"/>
        <w:rPr/>
      </w:pPr>
      <w:r>
        <w:rPr>
          <w:color w:val="000000"/>
        </w:rPr>
        <w:t xml:space="preserve"> </w:t>
      </w:r>
      <w:r>
        <w:rPr>
          <w:rFonts w:ascii="Arial" w:hAnsi="Arial"/>
          <w:color w:val="000000"/>
          <w:sz w:val="20"/>
        </w:rPr>
        <w:t>mergers, acquisitions, tender offers or dispositions;</w:t>
      </w:r>
    </w:p>
    <w:p>
      <w:pPr>
        <w:pStyle w:val="TextBody"/>
        <w:bidi w:val="0"/>
        <w:jc w:val="both"/>
        <w:rPr/>
      </w:pPr>
      <w:r>
        <w:rPr>
          <w:color w:val="000000"/>
        </w:rPr>
        <w:t xml:space="preserve"> </w:t>
      </w:r>
      <w:r>
        <w:rPr>
          <w:rFonts w:ascii="Arial" w:hAnsi="Arial"/>
          <w:color w:val="000000"/>
          <w:sz w:val="20"/>
        </w:rPr>
        <w:t>major new products or product developments;</w:t>
      </w:r>
    </w:p>
    <w:p>
      <w:pPr>
        <w:pStyle w:val="TextBody"/>
        <w:bidi w:val="0"/>
        <w:jc w:val="both"/>
        <w:rPr/>
      </w:pPr>
      <w:r>
        <w:rPr>
          <w:color w:val="000000"/>
        </w:rPr>
        <w:t xml:space="preserve"> </w:t>
      </w:r>
      <w:r>
        <w:rPr>
          <w:rFonts w:ascii="Arial" w:hAnsi="Arial"/>
          <w:color w:val="000000"/>
          <w:sz w:val="20"/>
        </w:rPr>
        <w:t>important business developments such as major contract awards or cancellations;</w:t>
      </w:r>
    </w:p>
    <w:p>
      <w:pPr>
        <w:pStyle w:val="TextBody"/>
        <w:bidi w:val="0"/>
        <w:jc w:val="both"/>
        <w:rPr/>
      </w:pPr>
      <w:r>
        <w:rPr>
          <w:color w:val="000000"/>
        </w:rPr>
        <w:t xml:space="preserve"> </w:t>
      </w:r>
      <w:r>
        <w:rPr>
          <w:rFonts w:ascii="Arial" w:hAnsi="Arial"/>
          <w:color w:val="000000"/>
          <w:sz w:val="20"/>
        </w:rPr>
        <w:t>developments regarding strategic collaborators, including VISEN Pharmaceuticals;</w:t>
      </w:r>
    </w:p>
    <w:p>
      <w:pPr>
        <w:pStyle w:val="TextBody"/>
        <w:bidi w:val="0"/>
        <w:jc w:val="both"/>
        <w:rPr/>
      </w:pPr>
      <w:r>
        <w:rPr>
          <w:color w:val="000000"/>
        </w:rPr>
        <w:t xml:space="preserve"> </w:t>
      </w:r>
      <w:r>
        <w:rPr>
          <w:rFonts w:ascii="Arial" w:hAnsi="Arial"/>
          <w:color w:val="000000"/>
          <w:sz w:val="20"/>
        </w:rPr>
        <w:t>the status of regulatory submissions;</w:t>
      </w:r>
    </w:p>
    <w:p>
      <w:pPr>
        <w:pStyle w:val="TextBody"/>
        <w:bidi w:val="0"/>
        <w:jc w:val="both"/>
        <w:rPr/>
      </w:pPr>
      <w:r>
        <w:rPr>
          <w:color w:val="000000"/>
        </w:rPr>
        <w:t xml:space="preserve"> </w:t>
      </w:r>
      <w:r>
        <w:rPr>
          <w:rFonts w:ascii="Arial" w:hAnsi="Arial"/>
          <w:color w:val="000000"/>
          <w:sz w:val="20"/>
        </w:rPr>
        <w:t>management or control changes;</w:t>
      </w:r>
    </w:p>
    <w:p>
      <w:pPr>
        <w:pStyle w:val="TextBody"/>
        <w:bidi w:val="0"/>
        <w:jc w:val="both"/>
        <w:rPr/>
      </w:pPr>
      <w:r>
        <w:rPr>
          <w:color w:val="000000"/>
        </w:rPr>
        <w:t xml:space="preserve"> </w:t>
      </w:r>
      <w:r>
        <w:rPr>
          <w:rFonts w:ascii="Arial" w:hAnsi="Arial"/>
          <w:color w:val="000000"/>
          <w:sz w:val="20"/>
        </w:rPr>
        <w:t>significant borrowing or financing developments including pending public sales or offerings of debt or equity securities;</w:t>
      </w:r>
    </w:p>
    <w:p>
      <w:pPr>
        <w:pStyle w:val="TextBody"/>
        <w:bidi w:val="0"/>
        <w:jc w:val="both"/>
        <w:rPr/>
      </w:pPr>
      <w:r>
        <w:rPr>
          <w:color w:val="000000"/>
        </w:rPr>
        <w:t xml:space="preserve"> </w:t>
      </w:r>
      <w:r>
        <w:rPr>
          <w:rFonts w:ascii="Arial" w:hAnsi="Arial"/>
          <w:color w:val="000000"/>
          <w:sz w:val="20"/>
        </w:rPr>
        <w:t>defaults on borrowings;</w:t>
      </w:r>
    </w:p>
    <w:p>
      <w:pPr>
        <w:pStyle w:val="TextBody"/>
        <w:bidi w:val="0"/>
        <w:jc w:val="both"/>
        <w:rPr/>
      </w:pPr>
      <w:r>
        <w:rPr>
          <w:color w:val="000000"/>
        </w:rPr>
        <w:t xml:space="preserve"> </w:t>
      </w:r>
      <w:r>
        <w:rPr>
          <w:rFonts w:ascii="Arial" w:hAnsi="Arial"/>
          <w:color w:val="000000"/>
          <w:sz w:val="20"/>
        </w:rPr>
        <w:t>bankruptcies;</w:t>
      </w:r>
    </w:p>
    <w:p>
      <w:pPr>
        <w:pStyle w:val="TextBody"/>
        <w:bidi w:val="0"/>
        <w:jc w:val="both"/>
        <w:rPr/>
      </w:pPr>
      <w:r>
        <w:rPr>
          <w:color w:val="000000"/>
        </w:rPr>
        <w:t xml:space="preserve"> </w:t>
      </w:r>
      <w:r>
        <w:rPr>
          <w:rFonts w:ascii="Arial" w:hAnsi="Arial"/>
          <w:color w:val="000000"/>
          <w:sz w:val="20"/>
        </w:rPr>
        <w:t>cybersecurity or data security incidents; and</w:t>
      </w:r>
      <w:r>
        <w:rPr>
          <w:rFonts w:ascii="Times New Roman" w:hAnsi="Times New Roman"/>
          <w:color w:val="000000"/>
          <w:sz w:val="20"/>
        </w:rPr>
        <w:t xml:space="preserve"> </w:t>
      </w:r>
    </w:p>
    <w:p>
      <w:pPr>
        <w:pStyle w:val="TextBody"/>
        <w:bidi w:val="0"/>
        <w:jc w:val="both"/>
        <w:rPr/>
      </w:pPr>
      <w:r>
        <w:rPr>
          <w:color w:val="000000"/>
        </w:rPr>
        <w:t xml:space="preserve"> </w:t>
      </w:r>
      <w:r>
        <w:rPr>
          <w:rFonts w:ascii="Arial" w:hAnsi="Arial"/>
          <w:color w:val="000000"/>
          <w:sz w:val="20"/>
        </w:rPr>
        <w:t>significant litigation or regulatory actions.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4/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Moreover, material information does not have to be related to a company’s business. For example, the contents of a forthcoming newspaper column that is expected to affect the market price of a security can be material.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Questions regarding material information should be directed to Ascendis Pharma’s Chief Legal Officer.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all cases, individuals subject to this Policy bear full responsibility for ensuring their compliance with this Policy, and also for ensuring that members of their household (and individuals not residing in their household but whose transactions are subject to their influence or control) and entities under their influence or control are in compliance with this Policy.</w:t>
      </w:r>
      <w:r>
        <w:rPr>
          <w:rFonts w:ascii="Times New Roman" w:hAnsi="Times New Roman"/>
          <w:color w:val="000000"/>
          <w:sz w:val="20"/>
        </w:rPr>
        <w:t xml:space="preserve"> </w:t>
      </w:r>
    </w:p>
    <w:p>
      <w:pPr>
        <w:pStyle w:val="TextBody"/>
        <w:bidi w:val="0"/>
        <w:jc w:val="left"/>
        <w:rPr/>
      </w:pPr>
      <w:r>
        <w:rPr/>
        <w:t> </w:t>
      </w:r>
    </w:p>
    <w:p>
      <w:pPr>
        <w:pStyle w:val="Heading2"/>
        <w:bidi w:val="0"/>
        <w:spacing w:before="40" w:after="120"/>
        <w:jc w:val="left"/>
        <w:rPr>
          <w:rFonts w:ascii="Arial" w:hAnsi="Arial"/>
          <w:b w:val="false"/>
          <w:color w:val="008EB0"/>
          <w:sz w:val="22"/>
        </w:rPr>
      </w:pPr>
      <w:r>
        <w:rPr>
          <w:rFonts w:ascii="Arial" w:hAnsi="Arial"/>
          <w:b w:val="false"/>
          <w:color w:val="008EB0"/>
          <w:sz w:val="22"/>
        </w:rPr>
        <w:t>4.3 What is “non-public” information?</w:t>
      </w:r>
    </w:p>
    <w:p>
      <w:pPr>
        <w:pStyle w:val="TextBody"/>
        <w:bidi w:val="0"/>
        <w:jc w:val="both"/>
        <w:rPr>
          <w:rFonts w:ascii="Arial" w:hAnsi="Arial"/>
          <w:color w:val="000000"/>
          <w:sz w:val="20"/>
        </w:rPr>
      </w:pPr>
      <w:r>
        <w:rPr>
          <w:rFonts w:ascii="Arial" w:hAnsi="Arial"/>
          <w:color w:val="000000"/>
          <w:sz w:val="20"/>
        </w:rPr>
        <w:t>Information is “non-public” if it is not available to the general public. In order for information to be considered public, it must be widely disseminated in a manner making it generally available to investors in a Regulation FD (fair disclosure)-compliant method, such as through a press release, a filing with the SEC or a Regulation FD-compliant conference call. The Chief Legal Officer shall have sole discretion to decide whether information is public for purposes of this Policy.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circulation of rumors, even if accurate and reported in the media, does not constitute effective public dissemination. In addition, even after a public announcement, a reasonable period of time may need to lapse in order for the market to react to the information. Generally, one should allow one (1) full trading day following release of the information to the public as a reasonable waiting period before such information is deemed to be public.</w:t>
      </w:r>
    </w:p>
    <w:p>
      <w:pPr>
        <w:pStyle w:val="TextBody"/>
        <w:bidi w:val="0"/>
        <w:jc w:val="left"/>
        <w:rPr/>
      </w:pPr>
      <w:r>
        <w:rPr/>
        <w:t> </w:t>
      </w:r>
    </w:p>
    <w:p>
      <w:pPr>
        <w:pStyle w:val="Heading2"/>
        <w:bidi w:val="0"/>
        <w:spacing w:before="40" w:after="120"/>
        <w:jc w:val="left"/>
        <w:rPr>
          <w:rFonts w:ascii="Arial" w:hAnsi="Arial"/>
          <w:b w:val="false"/>
          <w:color w:val="008EB0"/>
          <w:sz w:val="22"/>
        </w:rPr>
      </w:pPr>
      <w:r>
        <w:rPr>
          <w:rFonts w:ascii="Arial" w:hAnsi="Arial"/>
          <w:b w:val="false"/>
          <w:color w:val="008EB0"/>
          <w:sz w:val="22"/>
        </w:rPr>
        <w:t>4.4 Who is an Insider?</w:t>
      </w:r>
    </w:p>
    <w:p>
      <w:pPr>
        <w:pStyle w:val="TextBody"/>
        <w:bidi w:val="0"/>
        <w:jc w:val="both"/>
        <w:rPr>
          <w:rFonts w:ascii="Times New Roman" w:hAnsi="Times New Roman"/>
          <w:sz w:val="20"/>
        </w:rPr>
      </w:pPr>
      <w:r>
        <w:rPr>
          <w:rFonts w:ascii="Arial" w:hAnsi="Arial"/>
          <w:color w:val="000000"/>
          <w:sz w:val="20"/>
        </w:rPr>
        <w:t>Insiders include Ascendis Pharma Individuals and anyone else within Ascendis Pharma who has material, non-public information about the Company and its subsidiaries.</w:t>
      </w:r>
      <w:r>
        <w:rPr>
          <w:rFonts w:ascii="Times New Roman" w:hAnsi="Times New Roman"/>
          <w:color w:val="000000"/>
          <w:sz w:val="20"/>
        </w:rPr>
        <w:t xml:space="preserve"> </w:t>
      </w:r>
    </w:p>
    <w:p>
      <w:pPr>
        <w:pStyle w:val="Heading1"/>
        <w:bidi w:val="0"/>
        <w:spacing w:before="240" w:after="120"/>
        <w:jc w:val="left"/>
        <w:rPr>
          <w:rFonts w:ascii="Arial" w:hAnsi="Arial"/>
          <w:b w:val="false"/>
          <w:color w:val="008EB0"/>
          <w:sz w:val="24"/>
        </w:rPr>
      </w:pPr>
      <w:r>
        <w:rPr>
          <w:rFonts w:ascii="Arial" w:hAnsi="Arial"/>
          <w:b w:val="false"/>
          <w:color w:val="008EB0"/>
          <w:sz w:val="24"/>
        </w:rPr>
        <w:t>5 Procedures</w:t>
      </w:r>
    </w:p>
    <w:p>
      <w:pPr>
        <w:pStyle w:val="Heading2"/>
        <w:bidi w:val="0"/>
        <w:spacing w:before="0" w:after="120"/>
        <w:jc w:val="left"/>
        <w:rPr>
          <w:rFonts w:ascii="Arial" w:hAnsi="Arial"/>
          <w:b w:val="false"/>
          <w:color w:val="008EB0"/>
          <w:sz w:val="22"/>
        </w:rPr>
      </w:pPr>
      <w:r>
        <w:rPr>
          <w:rFonts w:ascii="Arial" w:hAnsi="Arial"/>
          <w:b w:val="false"/>
          <w:color w:val="008EB0"/>
          <w:sz w:val="22"/>
        </w:rPr>
        <w:t>5.1 Supporting requirements</w:t>
      </w:r>
    </w:p>
    <w:p>
      <w:pPr>
        <w:pStyle w:val="TextBody"/>
        <w:bidi w:val="0"/>
        <w:jc w:val="both"/>
        <w:rPr>
          <w:rFonts w:ascii="Arial" w:hAnsi="Arial"/>
          <w:color w:val="000000"/>
          <w:sz w:val="20"/>
        </w:rPr>
      </w:pPr>
      <w:r>
        <w:rPr>
          <w:rFonts w:ascii="Arial" w:hAnsi="Arial"/>
          <w:color w:val="000000"/>
          <w:sz w:val="20"/>
        </w:rPr>
        <w:t>To minimize the risk of Insider Trading, Ascendis Pharma has put in place below requirements relating to:</w:t>
      </w:r>
    </w:p>
    <w:p>
      <w:pPr>
        <w:pStyle w:val="TextBody"/>
        <w:bidi w:val="0"/>
        <w:jc w:val="both"/>
        <w:rPr/>
      </w:pPr>
      <w:r>
        <w:rPr/>
        <w:t> </w:t>
      </w:r>
    </w:p>
    <w:p>
      <w:pPr>
        <w:pStyle w:val="TextBody"/>
        <w:bidi w:val="0"/>
        <w:jc w:val="both"/>
        <w:rPr/>
      </w:pPr>
      <w:r>
        <w:rPr>
          <w:color w:val="000000"/>
        </w:rPr>
        <w:t xml:space="preserve"> </w:t>
      </w:r>
      <w:r>
        <w:rPr>
          <w:rFonts w:ascii="Arial" w:hAnsi="Arial"/>
          <w:color w:val="000000"/>
          <w:sz w:val="20"/>
        </w:rPr>
        <w:t>Periodic Trading Windows (see 5.1.1)</w:t>
      </w:r>
    </w:p>
    <w:p>
      <w:pPr>
        <w:pStyle w:val="TextBody"/>
        <w:bidi w:val="0"/>
        <w:jc w:val="both"/>
        <w:rPr/>
      </w:pPr>
      <w:r>
        <w:rPr>
          <w:color w:val="000000"/>
        </w:rPr>
        <w:t xml:space="preserve"> </w:t>
      </w:r>
      <w:r>
        <w:rPr>
          <w:rFonts w:ascii="Arial" w:hAnsi="Arial"/>
          <w:color w:val="000000"/>
          <w:sz w:val="20"/>
        </w:rPr>
        <w:t>Event-specific Blackouts (see 5.2)</w:t>
      </w:r>
    </w:p>
    <w:p>
      <w:pPr>
        <w:pStyle w:val="TextBody"/>
        <w:bidi w:val="0"/>
        <w:jc w:val="both"/>
        <w:rPr/>
      </w:pPr>
      <w:r>
        <w:rPr>
          <w:color w:val="000000"/>
        </w:rPr>
        <w:t xml:space="preserve"> </w:t>
      </w:r>
      <w:r>
        <w:rPr>
          <w:rFonts w:ascii="Arial" w:hAnsi="Arial"/>
          <w:color w:val="000000"/>
          <w:sz w:val="20"/>
        </w:rPr>
        <w:t>Specific personal preclearance procedures for senior management and select functions (see 5.2.2)</w:t>
      </w:r>
    </w:p>
    <w:p>
      <w:pPr>
        <w:pStyle w:val="TextBody"/>
        <w:bidi w:val="0"/>
        <w:jc w:val="both"/>
        <w:rPr/>
      </w:pPr>
      <w:r>
        <w:rPr>
          <w:color w:val="000000"/>
        </w:rPr>
        <w:t xml:space="preserve"> </w:t>
      </w:r>
      <w:r>
        <w:rPr>
          <w:rFonts w:ascii="Arial" w:hAnsi="Arial"/>
          <w:color w:val="000000"/>
          <w:sz w:val="20"/>
        </w:rPr>
        <w:t>General handling of material non-public information (see 5.2.3)</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prohibition against Insider Trading and the further instructions contained in sections 5.1.1 - 5.2.2 may be summarized and illustrated in the decision tree shown below (Illustration 1).</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5/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3000375" cy="61150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64"/>
                    <a:stretch>
                      <a:fillRect/>
                    </a:stretch>
                  </pic:blipFill>
                  <pic:spPr bwMode="auto">
                    <a:xfrm>
                      <a:off x="0" y="0"/>
                      <a:ext cx="3000375" cy="6115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Review of this chart is not a substitute for</w:t>
      </w:r>
    </w:p>
    <w:p>
      <w:pPr>
        <w:pStyle w:val="TextBody"/>
        <w:bidi w:val="0"/>
        <w:jc w:val="left"/>
        <w:rPr>
          <w:rFonts w:ascii="Times New Roman" w:hAnsi="Times New Roman"/>
          <w:sz w:val="20"/>
        </w:rPr>
      </w:pPr>
      <w:r>
        <w:rPr>
          <w:rFonts w:ascii="Arial" w:hAnsi="Arial"/>
          <w:b/>
          <w:color w:val="000000"/>
          <w:sz w:val="20"/>
        </w:rPr>
        <w:t>reading and understanding this Policy.</w:t>
      </w:r>
      <w:r>
        <w:rPr>
          <w:rFonts w:ascii="Times New Roman" w:hAnsi="Times New Roman"/>
          <w:color w:val="000000"/>
          <w:sz w:val="20"/>
        </w:rPr>
        <w:t xml:space="preserve"> </w:t>
      </w:r>
    </w:p>
    <w:p>
      <w:pPr>
        <w:pStyle w:val="TextBody"/>
        <w:bidi w:val="0"/>
        <w:jc w:val="left"/>
        <w:rPr/>
      </w:pPr>
      <w:r>
        <w:rPr/>
        <w:t> </w:t>
      </w:r>
    </w:p>
    <w:p>
      <w:pPr>
        <w:pStyle w:val="TextBody"/>
        <w:bidi w:val="0"/>
        <w:spacing w:before="40" w:after="120"/>
        <w:jc w:val="left"/>
        <w:rPr>
          <w:rFonts w:ascii="Arial" w:hAnsi="Arial"/>
          <w:color w:val="008EB0"/>
          <w:sz w:val="20"/>
        </w:rPr>
      </w:pPr>
      <w:r>
        <w:rPr>
          <w:rFonts w:ascii="Arial" w:hAnsi="Arial"/>
          <w:color w:val="008EB0"/>
          <w:sz w:val="20"/>
        </w:rPr>
        <w:t>5.1.1 Periodic Trading Windows</w:t>
      </w:r>
    </w:p>
    <w:p>
      <w:pPr>
        <w:pStyle w:val="TextBody"/>
        <w:bidi w:val="0"/>
        <w:jc w:val="both"/>
        <w:rPr>
          <w:rFonts w:ascii="Times New Roman" w:hAnsi="Times New Roman"/>
          <w:sz w:val="20"/>
        </w:rPr>
      </w:pPr>
      <w:r>
        <w:rPr>
          <w:rFonts w:ascii="Arial" w:hAnsi="Arial"/>
          <w:color w:val="000000"/>
          <w:sz w:val="20"/>
        </w:rPr>
        <w:t>Ascendis Pharma Individuals may only trade during open Periodic Trading Windows. Periodic Trading Windows open on the date falling one (1) full trading day after the public release of earnings data for any financial quarter and close on the date falling twenty-one (21) calendar days prior to the last date of each financial quarter (each, a “</w:t>
      </w:r>
      <w:r>
        <w:rPr>
          <w:rFonts w:ascii="Arial" w:hAnsi="Arial"/>
          <w:b/>
          <w:color w:val="000000"/>
          <w:sz w:val="20"/>
        </w:rPr>
        <w:t>Periodic Trading Window</w:t>
      </w:r>
      <w:r>
        <w:rPr>
          <w:rFonts w:ascii="Times New Roman" w:hAnsi="Times New Roman"/>
          <w:color w:val="000000"/>
          <w:sz w:val="20"/>
        </w:rPr>
        <w:t>”</w:t>
      </w:r>
      <w:r>
        <w:rPr>
          <w:rFonts w:ascii="Arial" w:hAnsi="Arial"/>
          <w:color w:val="000000"/>
          <w:sz w:val="20"/>
        </w:rPr>
        <w:t>). For purposes of the foregoing sentence, a “</w:t>
      </w:r>
      <w:r>
        <w:rPr>
          <w:rFonts w:ascii="Arial" w:hAnsi="Arial"/>
          <w:b/>
          <w:color w:val="000000"/>
          <w:sz w:val="20"/>
        </w:rPr>
        <w:t>trading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6/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day</w:t>
      </w:r>
      <w:r>
        <w:rPr>
          <w:rFonts w:ascii="Times New Roman" w:hAnsi="Times New Roman"/>
          <w:color w:val="000000"/>
          <w:sz w:val="20"/>
        </w:rPr>
        <w:t xml:space="preserve">” </w:t>
      </w:r>
      <w:r>
        <w:rPr>
          <w:rFonts w:ascii="Arial" w:hAnsi="Arial"/>
          <w:color w:val="000000"/>
          <w:sz w:val="20"/>
        </w:rPr>
        <w:t>is a day on which US national stock exchanges are open for trading. If, for example, Ascendis Pharma were to make an announcement on Monday prior to 9:30 a.m. Eastern Time, then the Periodic Trading Window would open after the close of trading on Tuesday. If an announcement were made on Monday after 9:30 a.m. Eastern Time, then the Periodic Trading Window would open after the close of trading on Wednesday.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Periodic Trading Windows are illustrated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6105525" cy="1800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65"/>
                    <a:stretch>
                      <a:fillRect/>
                    </a:stretch>
                  </pic:blipFill>
                  <pic:spPr bwMode="auto">
                    <a:xfrm>
                      <a:off x="0" y="0"/>
                      <a:ext cx="6105525" cy="1800225"/>
                    </a:xfrm>
                    <a:prstGeom prst="rect">
                      <a:avLst/>
                    </a:prstGeom>
                  </pic:spPr>
                </pic:pic>
              </a:graphicData>
            </a:graphic>
          </wp:inline>
        </w:drawing>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 other words: 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or subject to their influence and control, shall purchase or sell any security of Ascendis Pharma outside of open Periodic Trading Windows. Exceptions to Periodic Trading Windows may be approved only by Ascendis Pharma’s Chief Legal Officer or, in the case of exceptions for the Chief Legal Officer, the Chief Financial Officer or, in the case of exceptions for directors, the Board of Directors or Audit Committee of the Board of Directors.</w:t>
      </w:r>
    </w:p>
    <w:p>
      <w:pPr>
        <w:pStyle w:val="TextBody"/>
        <w:bidi w:val="0"/>
        <w:jc w:val="both"/>
        <w:rPr/>
      </w:pPr>
      <w:r>
        <w:rPr/>
        <w:t> </w:t>
      </w:r>
    </w:p>
    <w:p>
      <w:pPr>
        <w:pStyle w:val="Heading2"/>
        <w:bidi w:val="0"/>
        <w:spacing w:before="40" w:after="120"/>
        <w:jc w:val="left"/>
        <w:rPr>
          <w:rFonts w:ascii="Arial" w:hAnsi="Arial"/>
          <w:b w:val="false"/>
          <w:color w:val="008EB0"/>
          <w:sz w:val="22"/>
        </w:rPr>
      </w:pPr>
      <w:r>
        <w:rPr>
          <w:rFonts w:ascii="Arial" w:hAnsi="Arial"/>
          <w:b w:val="false"/>
          <w:color w:val="008EB0"/>
          <w:sz w:val="22"/>
        </w:rPr>
        <w:t>5.2 Prohibition against Insider Trading</w:t>
      </w:r>
    </w:p>
    <w:p>
      <w:pPr>
        <w:pStyle w:val="TextBody"/>
        <w:bidi w:val="0"/>
        <w:jc w:val="both"/>
        <w:rPr>
          <w:rFonts w:ascii="Arial" w:hAnsi="Arial"/>
          <w:color w:val="000000"/>
          <w:sz w:val="20"/>
        </w:rPr>
      </w:pPr>
      <w:r>
        <w:rPr>
          <w:rFonts w:ascii="Arial" w:hAnsi="Arial"/>
          <w:color w:val="000000"/>
          <w:sz w:val="20"/>
        </w:rPr>
        <w:t>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shall purchase or sell any type of security while in possession of material, non-public information relating to the security, whether the issuer of such security is Ascendis Pharma or any other company.</w:t>
      </w:r>
    </w:p>
    <w:p>
      <w:pPr>
        <w:pStyle w:val="TextBody"/>
        <w:bidi w:val="0"/>
        <w:jc w:val="both"/>
        <w:rPr/>
      </w:pPr>
      <w:r>
        <w:rPr/>
        <w:t> </w:t>
      </w:r>
    </w:p>
    <w:p>
      <w:pPr>
        <w:pStyle w:val="TextBody"/>
        <w:bidi w:val="0"/>
        <w:spacing w:before="40" w:after="120"/>
        <w:jc w:val="left"/>
        <w:rPr>
          <w:rFonts w:ascii="Arial" w:hAnsi="Arial"/>
          <w:color w:val="008EB0"/>
          <w:sz w:val="20"/>
        </w:rPr>
      </w:pPr>
      <w:r>
        <w:rPr>
          <w:rFonts w:ascii="Arial" w:hAnsi="Arial"/>
          <w:color w:val="008EB0"/>
          <w:sz w:val="20"/>
        </w:rPr>
        <w:t>5.2.1 Event-Specific Blackouts:</w:t>
      </w:r>
    </w:p>
    <w:p>
      <w:pPr>
        <w:pStyle w:val="TextBody"/>
        <w:bidi w:val="0"/>
        <w:jc w:val="both"/>
        <w:rPr>
          <w:rFonts w:ascii="Times New Roman" w:hAnsi="Times New Roman"/>
          <w:sz w:val="20"/>
        </w:rPr>
      </w:pPr>
      <w:r>
        <w:rPr>
          <w:rFonts w:ascii="Arial" w:hAnsi="Arial"/>
          <w:color w:val="000000"/>
          <w:sz w:val="20"/>
        </w:rPr>
        <w:t>From time to time, whether during a closed period or an open trading window cf. above 5.1.1, the Board of Directors, the Chief Legal Officer or the Chief Financial Officer of Ascendis Pharma determine to suspend trading in Ascendis Pharma’s securities by some or all Ascendis Pharma Individuals or others because of developments that have not yet been disclosed to the public. Such suspension is referred to as an “</w:t>
      </w:r>
      <w:r>
        <w:rPr>
          <w:rFonts w:ascii="Arial" w:hAnsi="Arial"/>
          <w:b/>
          <w:color w:val="000000"/>
          <w:sz w:val="20"/>
        </w:rPr>
        <w:t>Event-Specific Blackout</w:t>
      </w:r>
      <w:r>
        <w:rPr>
          <w:rFonts w:ascii="Times New Roman" w:hAnsi="Times New Roman"/>
          <w:color w:val="000000"/>
          <w:sz w:val="20"/>
        </w:rPr>
        <w:t>”</w:t>
      </w:r>
      <w:r>
        <w:rPr>
          <w:rFonts w:ascii="Arial" w:hAnsi="Arial"/>
          <w:color w:val="000000"/>
          <w:sz w:val="20"/>
        </w:rPr>
        <w:t>. During an Event-Specific Blackout, all individuals affected should not trade in Ascendis Pharma’s securities and should not disclose to others that Ascendis Pharma has implemented an Event-Specific Blackout or otherwise suspended trading.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case of an Event-Specific Blackout, the Ascendis Pharma Individuals subject to the specific blackout will receive an e-mail notification from the Chief Legal Officer or a person authorized by the Chief Legal Officer. Once Ascendis Pharma Individuals are no longer subject to such Event-Specific Blackout, they will receive an e-mail notification confirming the removal of the trading restrictions.</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7/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For the avoidance of doubt, if Ascendis Pharma Individuals do not receive an e-mail notification regarding an Event-Specific Blackout, but are in possession of material non-public information, such Ascendis Pharma Individuals may not trade. Failure by Ascendis Pharma to provide notice does not relieve Ascendis Pharma Individuals of their obligations under this Policy.</w:t>
      </w:r>
      <w:r>
        <w:rPr>
          <w:rFonts w:ascii="Times New Roman" w:hAnsi="Times New Roman"/>
          <w:color w:val="000000"/>
          <w:sz w:val="20"/>
        </w:rPr>
        <w:t xml:space="preserve"> </w:t>
      </w:r>
    </w:p>
    <w:p>
      <w:pPr>
        <w:pStyle w:val="TextBody"/>
        <w:bidi w:val="0"/>
        <w:jc w:val="left"/>
        <w:rPr/>
      </w:pPr>
      <w:r>
        <w:rPr/>
        <w:t> </w:t>
      </w:r>
    </w:p>
    <w:p>
      <w:pPr>
        <w:pStyle w:val="TextBody"/>
        <w:bidi w:val="0"/>
        <w:spacing w:before="40" w:after="120"/>
        <w:jc w:val="left"/>
        <w:rPr>
          <w:rFonts w:ascii="Arial" w:hAnsi="Arial"/>
          <w:color w:val="008EB0"/>
          <w:sz w:val="20"/>
        </w:rPr>
      </w:pPr>
      <w:r>
        <w:rPr>
          <w:rFonts w:ascii="Arial" w:hAnsi="Arial"/>
          <w:color w:val="008EB0"/>
          <w:sz w:val="20"/>
        </w:rPr>
        <w:t>5.2.2 Preclearance of all trades by employees in the departments Group Legal and Regulatory, and all senior management (VPs and above management levels) in Ascendis Pharma</w:t>
      </w:r>
    </w:p>
    <w:p>
      <w:pPr>
        <w:pStyle w:val="TextBody"/>
        <w:bidi w:val="0"/>
        <w:jc w:val="both"/>
        <w:rPr>
          <w:rFonts w:ascii="Times New Roman" w:hAnsi="Times New Roman"/>
          <w:sz w:val="20"/>
        </w:rPr>
      </w:pPr>
      <w:r>
        <w:rPr>
          <w:rFonts w:ascii="Arial" w:hAnsi="Arial"/>
          <w:color w:val="000000"/>
          <w:sz w:val="20"/>
        </w:rPr>
        <w:t>All transactions in Ascendis Pharma’s Securities by employees in the departments Group Legal and Regulatory, and all senior management (VPs and above management levels) in Ascendis Pharma, other than Excluded Transactions, must be precleared by Ascendis Pharma’s Chief Legal Officer or a person authorized by the Chief Legal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Preclearance should not be understood to represent the legal advice by Ascendis Pharma that the proposed transaction complies with law. Preclearance does not relieve an individual of their responsibility under SEC rules, and none of Ascendis Pharma, the Chief Legal Officer or Chief Financial Officer, or Ascendis Pharma’s other employees assume any liability for the legality or consequences of such transaction to the person engaging in such transaction, nor will any of the foregoing have any liability for any delay in reviewing, or refusal of, a request for preclearance submitted pursuant to this Section 5.2.2.</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To request a preclearance, Ascendis Pharma Individuals must confirm that they are not aware or in possession of material non-public information either i) by filling out, dating and signing a Preclearance form, which is available on the Ascendis Pharma intranet or through the Computershare portal, and submit it via Ascendis Pharma email to either Ascendis Pharma’s Chief Legal Officer or an authorized individual as per directions from the Chief Legal Officer, or ii) by accepting a statement to that effect when using online tools administered by Ascendis Pharma, if applicable.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Preclearance may be granted for a period of up to five (5) trading days but may also be granted for a shorter period of time. The preclearance period will be indicated in the preclearance email. Notwithstanding receipt of preclearance, if the preclearance person becomes aware of material non-public information, becomes subject to an Event-Specific Blackout, or if the Period Trading Window closes before the transaction is effected, the transaction may not be completed. Transactions under a previously established Trading Plan (as defined in Section 7) that have been precleared in accordance with this Policy are not subject to further preclearance.</w:t>
      </w:r>
      <w:r>
        <w:rPr>
          <w:rFonts w:ascii="Times New Roman" w:hAnsi="Times New Roman"/>
          <w:color w:val="000000"/>
          <w:sz w:val="20"/>
        </w:rPr>
        <w:t xml:space="preserve"> </w:t>
      </w:r>
    </w:p>
    <w:p>
      <w:pPr>
        <w:pStyle w:val="TextBody"/>
        <w:bidi w:val="0"/>
        <w:jc w:val="left"/>
        <w:rPr/>
      </w:pPr>
      <w:r>
        <w:rPr/>
        <w:t> </w:t>
      </w:r>
    </w:p>
    <w:p>
      <w:pPr>
        <w:pStyle w:val="TextBody"/>
        <w:bidi w:val="0"/>
        <w:spacing w:before="40" w:after="120"/>
        <w:jc w:val="left"/>
        <w:rPr>
          <w:rFonts w:ascii="Arial" w:hAnsi="Arial"/>
          <w:color w:val="008EB0"/>
          <w:sz w:val="20"/>
        </w:rPr>
      </w:pPr>
      <w:r>
        <w:rPr>
          <w:rFonts w:ascii="Arial" w:hAnsi="Arial"/>
          <w:color w:val="008EB0"/>
          <w:sz w:val="20"/>
        </w:rPr>
        <w:t>5.2.3 General handling of Material Non-Public Information</w:t>
      </w:r>
    </w:p>
    <w:p>
      <w:pPr>
        <w:pStyle w:val="TextBody"/>
        <w:bidi w:val="0"/>
        <w:jc w:val="both"/>
        <w:rPr>
          <w:rFonts w:ascii="Times New Roman" w:hAnsi="Times New Roman"/>
          <w:sz w:val="20"/>
        </w:rPr>
      </w:pPr>
      <w:r>
        <w:rPr>
          <w:rFonts w:ascii="Arial" w:hAnsi="Arial"/>
          <w:color w:val="000000"/>
          <w:sz w:val="20"/>
        </w:rPr>
        <w:t>Access to material non-public information about Ascendis Pharma, including Ascendis Pharma’s business, earnings or prospects, should be limited to Ascendis Pharma Individuals on a need-to-know basis.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such information should not be communicated to anyone outside Ascendis Pharma under any circumstances (except in accordance with the Confidentiality Procedure).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Material non-public information must be handled in accordance with our Confidentiality Procedure.</w:t>
      </w:r>
    </w:p>
    <w:p>
      <w:pPr>
        <w:pStyle w:val="TextBody"/>
        <w:bidi w:val="0"/>
        <w:spacing w:before="40" w:after="120"/>
        <w:jc w:val="left"/>
        <w:rPr>
          <w:rFonts w:ascii="Arial" w:hAnsi="Arial"/>
          <w:color w:val="008EB0"/>
          <w:sz w:val="20"/>
        </w:rPr>
      </w:pPr>
      <w:r>
        <w:rPr>
          <w:rFonts w:ascii="Arial" w:hAnsi="Arial"/>
          <w:color w:val="008EB0"/>
          <w:sz w:val="20"/>
        </w:rPr>
        <w:t>5.2.4 Prohibited Transactions</w:t>
      </w:r>
    </w:p>
    <w:p>
      <w:pPr>
        <w:pStyle w:val="TextBody"/>
        <w:bidi w:val="0"/>
        <w:spacing w:before="0" w:after="180"/>
        <w:jc w:val="both"/>
        <w:rPr>
          <w:rFonts w:ascii="Arial" w:hAnsi="Arial"/>
          <w:color w:val="000000"/>
          <w:sz w:val="20"/>
        </w:rPr>
      </w:pPr>
      <w:r>
        <w:rPr>
          <w:rFonts w:ascii="Arial" w:hAnsi="Arial"/>
          <w:color w:val="000000"/>
          <w:sz w:val="20"/>
        </w:rPr>
        <w:t>Ascendis Pharma has determined that there is a heightened legal risk and a heightened appearance of improper or inappropriate conduct if persons subject to this Policy engage in certain types of transactions. Therefore, Ascendis Pharma Individuals shall comply with the following requirements with respect to certain transactions in Ascendis Pharma securities:</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8/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40"/>
        <w:jc w:val="left"/>
        <w:rPr>
          <w:rFonts w:ascii="Arial" w:hAnsi="Arial"/>
          <w:color w:val="008EB0"/>
          <w:sz w:val="20"/>
        </w:rPr>
      </w:pPr>
      <w:r>
        <w:rPr>
          <w:rFonts w:ascii="Arial" w:hAnsi="Arial"/>
          <w:color w:val="008EB0"/>
          <w:sz w:val="20"/>
        </w:rPr>
        <w:t>5.2.4.1 Short Sales</w:t>
      </w:r>
    </w:p>
    <w:p>
      <w:pPr>
        <w:pStyle w:val="TextBody"/>
        <w:bidi w:val="0"/>
        <w:spacing w:before="0" w:after="180"/>
        <w:jc w:val="both"/>
        <w:rPr>
          <w:rFonts w:ascii="Arial" w:hAnsi="Arial"/>
          <w:color w:val="000000"/>
          <w:sz w:val="20"/>
        </w:rPr>
      </w:pPr>
      <w:r>
        <w:rPr>
          <w:rFonts w:ascii="Arial" w:hAnsi="Arial"/>
          <w:color w:val="000000"/>
          <w:sz w:val="20"/>
        </w:rPr>
        <w:t>Short sales of Ascendis Pharma’s Securities are prohibited by this Policy. Short sales of Ascendis Pharma’s Securities, or sales of shares that the seller does not own at the time of sale, or sales of shares against which the seller does not deliver the shares within twenty (20) days after the sale, evidence an expectation on the part of the seller that the Securities will decline in value, and, therefore, signal to the market that the seller has no confidence in Ascendis Pharma or its short-term prospects.</w:t>
      </w:r>
    </w:p>
    <w:p>
      <w:pPr>
        <w:pStyle w:val="TextBody"/>
        <w:bidi w:val="0"/>
        <w:spacing w:before="0" w:after="240"/>
        <w:jc w:val="left"/>
        <w:rPr>
          <w:rFonts w:ascii="Arial" w:hAnsi="Arial"/>
          <w:color w:val="008EB0"/>
          <w:sz w:val="20"/>
        </w:rPr>
      </w:pPr>
      <w:r>
        <w:rPr>
          <w:rFonts w:ascii="Arial" w:hAnsi="Arial"/>
          <w:color w:val="008EB0"/>
          <w:sz w:val="20"/>
        </w:rPr>
        <w:t>5.2.4.2 Options</w:t>
      </w:r>
    </w:p>
    <w:p>
      <w:pPr>
        <w:pStyle w:val="TextBody"/>
        <w:bidi w:val="0"/>
        <w:jc w:val="both"/>
        <w:rPr>
          <w:rFonts w:ascii="Arial" w:hAnsi="Arial"/>
          <w:color w:val="000000"/>
          <w:sz w:val="20"/>
        </w:rPr>
      </w:pPr>
      <w:r>
        <w:rPr>
          <w:rFonts w:ascii="Arial" w:hAnsi="Arial"/>
          <w:color w:val="000000"/>
          <w:sz w:val="20"/>
        </w:rPr>
        <w:t>Transactions in puts, calls, or other derivative securities involving Ascendis Pharma’s equity securities, on an exchange, on an over-the-counter market, or in any other organized market, are prohibited by this Policy. A transaction in options is, in effect, a bet on the short-term movement of Ascendis Pharma’s shares and, therefore, creates the appearance that an Ascendis Pharma Individual is trading based on material non-public information. Transactions in options, whether traded on an exchange, on an over-the-counter market, or any other organized market, may also focus an Ascendis Pharma Individual’s attention on short-term performance at the expense of Ascendis Pharma’s long-term objectives.</w:t>
      </w:r>
    </w:p>
    <w:p>
      <w:pPr>
        <w:pStyle w:val="TextBody"/>
        <w:bidi w:val="0"/>
        <w:spacing w:before="40" w:after="283"/>
        <w:jc w:val="left"/>
        <w:rPr/>
      </w:pPr>
      <w:r>
        <w:rPr/>
        <w:t> </w:t>
      </w:r>
    </w:p>
    <w:p>
      <w:pPr>
        <w:pStyle w:val="TextBody"/>
        <w:bidi w:val="0"/>
        <w:spacing w:before="40" w:after="240"/>
        <w:jc w:val="left"/>
        <w:rPr>
          <w:rFonts w:ascii="Arial" w:hAnsi="Arial"/>
          <w:color w:val="008EB0"/>
          <w:sz w:val="20"/>
        </w:rPr>
      </w:pPr>
      <w:r>
        <w:rPr>
          <w:rFonts w:ascii="Arial" w:hAnsi="Arial"/>
          <w:color w:val="008EB0"/>
          <w:sz w:val="20"/>
        </w:rPr>
        <w:t>5.2.4.3 Hedging Transactions</w:t>
      </w:r>
    </w:p>
    <w:p>
      <w:pPr>
        <w:pStyle w:val="TextBody"/>
        <w:bidi w:val="0"/>
        <w:spacing w:before="0" w:after="180"/>
        <w:jc w:val="both"/>
        <w:rPr>
          <w:rFonts w:ascii="Arial" w:hAnsi="Arial"/>
          <w:color w:val="000000"/>
          <w:sz w:val="20"/>
        </w:rPr>
      </w:pPr>
      <w:r>
        <w:rPr>
          <w:rFonts w:ascii="Arial" w:hAnsi="Arial"/>
          <w:color w:val="000000"/>
          <w:sz w:val="20"/>
        </w:rPr>
        <w:t>Hedging transactions involving Ascendis Pharma’s Securities, such as prepaid variable forward sale contracts, equity swaps, collars and exchange funds, or other transactions that hedge or offset, or are designed to hedge or offset, any decrease in the market value of Ascendis Pharma’s equity Securities, are prohibited by this Policy. Such transactions allow the Ascendis Pharma Individual to continue to own the covered Securities, but without the full risks and rewards of ownership. When that occurs, the Ascendis Pharma Individual may no longer have the same objectives as Ascendis Pharma’s other shareholders.</w:t>
      </w:r>
    </w:p>
    <w:p>
      <w:pPr>
        <w:pStyle w:val="TextBody"/>
        <w:bidi w:val="0"/>
        <w:spacing w:before="0" w:after="240"/>
        <w:jc w:val="left"/>
        <w:rPr>
          <w:rFonts w:ascii="Arial" w:hAnsi="Arial"/>
          <w:color w:val="008EB0"/>
          <w:sz w:val="20"/>
        </w:rPr>
      </w:pPr>
      <w:r>
        <w:rPr>
          <w:rFonts w:ascii="Arial" w:hAnsi="Arial"/>
          <w:color w:val="008EB0"/>
          <w:sz w:val="20"/>
        </w:rPr>
        <w:t>5.2.4.4 Margin Accounts and Pledging</w:t>
      </w:r>
    </w:p>
    <w:p>
      <w:pPr>
        <w:pStyle w:val="TextBody"/>
        <w:bidi w:val="0"/>
        <w:spacing w:before="0" w:after="180"/>
        <w:jc w:val="both"/>
        <w:rPr>
          <w:rFonts w:ascii="Times New Roman" w:hAnsi="Times New Roman"/>
          <w:sz w:val="20"/>
        </w:rPr>
      </w:pPr>
      <w:r>
        <w:rPr>
          <w:rFonts w:ascii="Arial" w:hAnsi="Arial"/>
          <w:color w:val="000000"/>
          <w:sz w:val="20"/>
        </w:rPr>
        <w:t>Ascendis Pharma Individuals are prohibited from pledging Ascendis Pharma Securities as collateral for a loan, purchasing Company Securities on margin (i.e. borrowing money to purchase the securities) or placing Company Securities in a margin account. This prohibition does not apply to cashless exercises of warrants under Ascendis Pharma’s equity plans or to situations approved in advance by the Chief Legal Officer or Chief Financial Officer.</w:t>
      </w:r>
      <w:r>
        <w:rPr>
          <w:rFonts w:ascii="Times New Roman" w:hAnsi="Times New Roman"/>
          <w:color w:val="000000"/>
          <w:sz w:val="20"/>
        </w:rPr>
        <w:t xml:space="preserve"> </w:t>
      </w:r>
    </w:p>
    <w:p>
      <w:pPr>
        <w:pStyle w:val="TextBody"/>
        <w:bidi w:val="0"/>
        <w:spacing w:before="0" w:after="240"/>
        <w:jc w:val="left"/>
        <w:rPr>
          <w:rFonts w:ascii="Arial" w:hAnsi="Arial"/>
          <w:color w:val="008EB0"/>
          <w:sz w:val="20"/>
        </w:rPr>
      </w:pPr>
      <w:r>
        <w:rPr>
          <w:rFonts w:ascii="Arial" w:hAnsi="Arial"/>
          <w:color w:val="008EB0"/>
          <w:sz w:val="20"/>
        </w:rPr>
        <w:t>5.2.4.5 Partnership Distributions</w:t>
      </w:r>
    </w:p>
    <w:p>
      <w:pPr>
        <w:pStyle w:val="TextBody"/>
        <w:bidi w:val="0"/>
        <w:spacing w:before="0" w:after="180"/>
        <w:jc w:val="both"/>
        <w:rPr>
          <w:rFonts w:ascii="Arial" w:hAnsi="Arial"/>
          <w:color w:val="000000"/>
          <w:sz w:val="20"/>
        </w:rPr>
      </w:pPr>
      <w:bookmarkStart w:id="52" w:name="ole_link3"/>
      <w:bookmarkStart w:id="53" w:name="ole_link4"/>
      <w:bookmarkEnd w:id="52"/>
      <w:bookmarkEnd w:id="53"/>
      <w:r>
        <w:rPr>
          <w:rFonts w:ascii="Arial" w:hAnsi="Arial"/>
          <w:color w:val="000000"/>
          <w:sz w:val="20"/>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Heading1"/>
        <w:bidi w:val="0"/>
        <w:spacing w:before="60" w:after="120"/>
        <w:jc w:val="left"/>
        <w:rPr/>
      </w:pPr>
      <w:r>
        <w:rPr/>
        <w:t>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9/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240" w:after="120"/>
        <w:jc w:val="left"/>
        <w:rPr>
          <w:rFonts w:ascii="Arial" w:hAnsi="Arial"/>
          <w:b w:val="false"/>
          <w:color w:val="008EB0"/>
          <w:sz w:val="24"/>
        </w:rPr>
      </w:pPr>
      <w:r>
        <w:rPr>
          <w:rFonts w:ascii="Arial" w:hAnsi="Arial"/>
          <w:b w:val="false"/>
          <w:color w:val="008EB0"/>
          <w:sz w:val="24"/>
        </w:rPr>
        <w:t>6 Rule 10b5-1 Trading Plans</w:t>
      </w:r>
    </w:p>
    <w:p>
      <w:pPr>
        <w:pStyle w:val="TextBody"/>
        <w:bidi w:val="0"/>
        <w:spacing w:before="0" w:after="180"/>
        <w:jc w:val="both"/>
        <w:rPr>
          <w:rFonts w:ascii="Times New Roman" w:hAnsi="Times New Roman"/>
          <w:sz w:val="20"/>
        </w:rPr>
      </w:pPr>
      <w:r>
        <w:rPr>
          <w:rFonts w:ascii="Arial" w:hAnsi="Arial"/>
          <w:color w:val="000000"/>
          <w:sz w:val="20"/>
        </w:rPr>
        <w:t>The trading restrictions set forth in this Policy, other than those transactions described under “Prohibited Transactions” in Section 5.2.4 of this Policy, do not apply to transactions under a previously established contract, plan or instruction to trade in Ascendis Pharma’s Securities entered into in accordance with Rule 10b5-1 (a “</w:t>
      </w:r>
      <w:r>
        <w:rPr>
          <w:rFonts w:ascii="Arial" w:hAnsi="Arial"/>
          <w:b/>
          <w:color w:val="000000"/>
          <w:sz w:val="20"/>
        </w:rPr>
        <w:t>Trading Plan</w:t>
      </w:r>
      <w:r>
        <w:rPr>
          <w:rFonts w:ascii="Times New Roman" w:hAnsi="Times New Roman"/>
          <w:color w:val="000000"/>
          <w:sz w:val="20"/>
        </w:rPr>
        <w:t>”</w:t>
      </w:r>
      <w:r>
        <w:rPr>
          <w:rFonts w:ascii="Arial" w:hAnsi="Arial"/>
          <w:color w:val="000000"/>
          <w:sz w:val="20"/>
        </w:rPr>
        <w:t>) that:</w:t>
      </w:r>
    </w:p>
    <w:p>
      <w:pPr>
        <w:pStyle w:val="TextBody"/>
        <w:bidi w:val="0"/>
        <w:spacing w:before="0" w:after="240"/>
        <w:jc w:val="both"/>
        <w:rPr/>
      </w:pPr>
      <w:r>
        <w:rPr>
          <w:color w:val="000000"/>
        </w:rPr>
        <w:t xml:space="preserve"> </w:t>
      </w:r>
      <w:r>
        <w:rPr>
          <w:rFonts w:ascii="Arial" w:hAnsi="Arial"/>
          <w:color w:val="000000"/>
          <w:sz w:val="20"/>
        </w:rPr>
        <w:t>has been submitted to and preapproved by Ascendis Pharma’s Chief Legal Officer or, in the case of exceptions for the Chief Legal Officer, the Chief Financial Officer, or such other person(s) as the Board of Directors may designate from time to time (each, an “</w:t>
      </w:r>
      <w:r>
        <w:rPr>
          <w:rFonts w:ascii="Arial" w:hAnsi="Arial"/>
          <w:b/>
          <w:color w:val="000000"/>
          <w:sz w:val="20"/>
        </w:rPr>
        <w:t>Authorizing Officer</w:t>
      </w:r>
      <w:r>
        <w:rPr>
          <w:rFonts w:ascii="Times New Roman" w:hAnsi="Times New Roman"/>
          <w:color w:val="000000"/>
          <w:sz w:val="20"/>
        </w:rPr>
        <w:t>”</w:t>
      </w:r>
      <w:r>
        <w:rPr>
          <w:rFonts w:ascii="Arial" w:hAnsi="Arial"/>
          <w:color w:val="000000"/>
          <w:sz w:val="20"/>
        </w:rPr>
        <w:t>);</w:t>
      </w:r>
    </w:p>
    <w:p>
      <w:pPr>
        <w:pStyle w:val="TextBody"/>
        <w:bidi w:val="0"/>
        <w:spacing w:before="0" w:after="240"/>
        <w:jc w:val="both"/>
        <w:rPr/>
      </w:pPr>
      <w:r>
        <w:rPr>
          <w:color w:val="000000"/>
        </w:rPr>
        <w:t xml:space="preserve"> </w:t>
      </w:r>
      <w:r>
        <w:rPr>
          <w:rFonts w:ascii="Arial" w:hAnsi="Arial"/>
          <w:color w:val="000000"/>
          <w:sz w:val="20"/>
        </w:rPr>
        <w:t>includes a “</w:t>
      </w:r>
      <w:r>
        <w:rPr>
          <w:rFonts w:ascii="Arial" w:hAnsi="Arial"/>
          <w:b/>
          <w:color w:val="000000"/>
          <w:sz w:val="20"/>
        </w:rPr>
        <w:t>Cooling Off Period</w:t>
      </w:r>
      <w:r>
        <w:rPr>
          <w:rFonts w:ascii="Times New Roman" w:hAnsi="Times New Roman"/>
          <w:color w:val="000000"/>
          <w:sz w:val="20"/>
        </w:rPr>
        <w:t xml:space="preserve">” </w:t>
      </w:r>
      <w:r>
        <w:rPr>
          <w:rFonts w:ascii="Arial" w:hAnsi="Arial"/>
          <w:color w:val="000000"/>
          <w:sz w:val="20"/>
        </w:rPr>
        <w:t>for: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w:t>
      </w:r>
      <w:r>
        <w:rPr>
          <w:rFonts w:ascii="Arial" w:hAnsi="Arial"/>
          <w:color w:val="000000"/>
          <w:sz w:val="20"/>
        </w:rPr>
        <w:t>directors and officers that extends to the later of 90 days after adoption or modification of a Trading Plan or two business days after filing the Form 20-F or Form 6-K disclosing financial results covering the fiscal quarter in which the Trading Plan was adopted, up to a maximum of 120 days;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w:t>
      </w:r>
      <w:r>
        <w:rPr>
          <w:rFonts w:ascii="Arial" w:hAnsi="Arial"/>
          <w:color w:val="000000"/>
          <w:sz w:val="20"/>
        </w:rPr>
        <w:t>employees and any other persons, other than Ascendis Pharma Individuals, that extends 30 days after adoption or modification of a Trading Plan;</w:t>
      </w:r>
    </w:p>
    <w:p>
      <w:pPr>
        <w:pStyle w:val="TextBody"/>
        <w:bidi w:val="0"/>
        <w:spacing w:before="0" w:after="240"/>
        <w:jc w:val="both"/>
        <w:rPr/>
      </w:pPr>
      <w:r>
        <w:rPr>
          <w:color w:val="000000"/>
        </w:rPr>
        <w:t xml:space="preserve"> </w:t>
      </w:r>
      <w:r>
        <w:rPr>
          <w:rFonts w:ascii="Arial" w:hAnsi="Arial"/>
          <w:color w:val="000000"/>
          <w:sz w:val="20"/>
        </w:rPr>
        <w:t>for directors and officers, includes a representation in the Trading Plan that the director or officer is (1) not aware of any material non-public information about Ascendis Pharma or its securities; and (2) adopting the Trading Plan in good faith and not as part of a plan or scheme to evade Rule 10b-5;</w:t>
      </w:r>
    </w:p>
    <w:p>
      <w:pPr>
        <w:pStyle w:val="TextBody"/>
        <w:bidi w:val="0"/>
        <w:spacing w:before="0" w:after="240"/>
        <w:jc w:val="both"/>
        <w:rPr/>
      </w:pPr>
      <w:r>
        <w:rPr>
          <w:color w:val="000000"/>
        </w:rPr>
        <w:t xml:space="preserve"> </w:t>
      </w:r>
      <w:r>
        <w:rPr>
          <w:rFonts w:ascii="Arial" w:hAnsi="Arial"/>
          <w:color w:val="000000"/>
          <w:sz w:val="20"/>
        </w:rPr>
        <w:t>has been entered into in good faith at a time when the Ascendis Pharma Individual was not in possession of material non-public information about Ascendis Pharma and not otherwise in a blackout period (</w:t>
      </w:r>
      <w:r>
        <w:rPr>
          <w:rFonts w:ascii="Arial" w:hAnsi="Arial"/>
          <w:i/>
          <w:color w:val="000000"/>
          <w:sz w:val="20"/>
          <w:u w:val="single"/>
        </w:rPr>
        <w:t>i.e.</w:t>
      </w:r>
      <w:r>
        <w:rPr>
          <w:rFonts w:ascii="Arial" w:hAnsi="Arial"/>
          <w:color w:val="000000"/>
          <w:sz w:val="20"/>
        </w:rPr>
        <w:t>, during a Periodic Trading Window and not during an Event-Specific Blackout), and the person who entered into the Trading Plan has acted in good faith with respect to the Trading Plan;</w:t>
      </w:r>
    </w:p>
    <w:p>
      <w:pPr>
        <w:pStyle w:val="TextBody"/>
        <w:bidi w:val="0"/>
        <w:spacing w:before="0" w:after="240"/>
        <w:jc w:val="both"/>
        <w:rPr/>
      </w:pPr>
      <w:r>
        <w:rPr>
          <w:color w:val="000000"/>
        </w:rPr>
        <w:t xml:space="preserve"> </w:t>
      </w:r>
      <w:r>
        <w:rPr>
          <w:rFonts w:ascii="Arial" w:hAnsi="Arial"/>
          <w:color w:val="000000"/>
          <w:sz w:val="20"/>
        </w:rPr>
        <w:t>either (1) specifies the amounts, prices, and dates of all security transactions under the Trading Plan, (2) provides a written formula, algorithm, or computer program for determining the amount, price, and date of the transactions, and (3) prohibits the individual from exercising any subsequent influence over the transactions; and</w:t>
      </w:r>
    </w:p>
    <w:p>
      <w:pPr>
        <w:pStyle w:val="TextBody"/>
        <w:bidi w:val="0"/>
        <w:spacing w:before="0" w:after="240"/>
        <w:jc w:val="both"/>
        <w:rPr/>
      </w:pPr>
      <w:r>
        <w:rPr>
          <w:color w:val="000000"/>
        </w:rPr>
        <w:t xml:space="preserve"> </w:t>
      </w:r>
      <w:r>
        <w:rPr>
          <w:rFonts w:ascii="Arial" w:hAnsi="Arial"/>
          <w:color w:val="000000"/>
          <w:sz w:val="20"/>
        </w:rPr>
        <w:t>complies with all other applicable requirements of Rule 10b5-1.</w:t>
      </w:r>
    </w:p>
    <w:p>
      <w:pPr>
        <w:pStyle w:val="TextBody"/>
        <w:bidi w:val="0"/>
        <w:spacing w:before="0" w:after="180"/>
        <w:jc w:val="both"/>
        <w:rPr>
          <w:rFonts w:ascii="Arial" w:hAnsi="Arial"/>
          <w:color w:val="000000"/>
          <w:sz w:val="20"/>
        </w:rPr>
      </w:pPr>
      <w:r>
        <w:rPr>
          <w:rFonts w:ascii="Arial" w:hAnsi="Arial"/>
          <w:color w:val="000000"/>
          <w:sz w:val="20"/>
        </w:rPr>
        <w:t>The Authorizing Officer may impose other such conditions on the implementation and operation of the Trading Plans as he or she deems necessary or advisable. Individuals may not adopt more than one Trading Plan at a time except under the limited circumstances permitted by Rule 10b5-1 and subject to preapproval by the Authorizing Officer.</w:t>
      </w:r>
    </w:p>
    <w:p>
      <w:pPr>
        <w:pStyle w:val="TextBody"/>
        <w:bidi w:val="0"/>
        <w:spacing w:before="0" w:after="180"/>
        <w:jc w:val="both"/>
        <w:rPr>
          <w:rFonts w:ascii="Times New Roman" w:hAnsi="Times New Roman"/>
          <w:sz w:val="20"/>
        </w:rPr>
      </w:pPr>
      <w:r>
        <w:rPr>
          <w:rFonts w:ascii="Arial" w:hAnsi="Arial"/>
          <w:color w:val="000000"/>
          <w:sz w:val="20"/>
        </w:rPr>
        <w:t>Ascendis Pharma Individuals may only modify a Trading Plan outside of a blackout period (i.e., during a Periodic Trading Window and not during an Event-Specific Blackout) and, in any event, when the individual does not possess material non-public information.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color w:val="000000"/>
          <w:sz w:val="20"/>
        </w:rPr>
        <w:t>Modifications to and terminations of a Trading Plan are subject to preapproval by the Authorizing Officer and modifications of a Trading Plan that change the amount, price, or timing of the purchase or sale of the securities underlying a Trading Plan will trigger a new Cooling-Off Period.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10/ NUMPAGES \* MERGEFORMAT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80"/>
        <w:jc w:val="both"/>
        <w:rPr>
          <w:rFonts w:ascii="Arial" w:hAnsi="Arial"/>
          <w:color w:val="000000"/>
          <w:sz w:val="20"/>
        </w:rPr>
      </w:pPr>
      <w:r>
        <w:rPr>
          <w:rFonts w:ascii="Arial" w:hAnsi="Arial"/>
          <w:color w:val="000000"/>
          <w:sz w:val="20"/>
        </w:rPr>
        <w:t>Ascendis Pharma reserves the right to publicly disclose, announce, or respond to inquiries from the media regarding, the adoption, modification, or termination of a Trading Plan and non-Rule 10b5-1 trading arrangements, or the execution of transactions made under a Trading Plan. Ascendis Pharma also reserves the right from time to time to suspend, discontinue, or otherwise prohibit transactions under a Trading Plan if the Authorizing Officer or the Board of Directors, at its discretion, determines that such suspension, discontinuation, or other prohibition is in the best interests of Ascendis Pharma.</w:t>
      </w:r>
    </w:p>
    <w:p>
      <w:pPr>
        <w:pStyle w:val="TextBody"/>
        <w:bidi w:val="0"/>
        <w:spacing w:before="0" w:after="180"/>
        <w:jc w:val="both"/>
        <w:rPr>
          <w:rFonts w:ascii="Times New Roman" w:hAnsi="Times New Roman"/>
          <w:sz w:val="20"/>
        </w:rPr>
      </w:pPr>
      <w:r>
        <w:rPr>
          <w:rFonts w:ascii="Arial" w:hAnsi="Arial"/>
          <w:color w:val="000000"/>
          <w:sz w:val="20"/>
        </w:rPr>
        <w:t>Compliance of a Trading Plan with the terms of Rule 10b5-1 and the execution of transactions pursuant to the Trading Plan are the sole responsibility of the person initiating the Trading Plan, and none</w:t>
      </w:r>
      <w:r>
        <w:rPr>
          <w:rFonts w:ascii="Times New Roman" w:hAnsi="Times New Roman"/>
          <w:color w:val="000000"/>
          <w:sz w:val="20"/>
        </w:rPr>
        <w:t xml:space="preserve"> </w:t>
      </w:r>
      <w:r>
        <w:rPr>
          <w:rFonts w:ascii="Arial" w:hAnsi="Arial"/>
          <w:color w:val="000000"/>
          <w:sz w:val="20"/>
        </w:rPr>
        <w:t>of Ascendis Pharma, the Authorizing Officer, or Ascendis Pharma’s other employees assumes any liability for any delay in reviewing and/or refusing to approve a Trading Plan submitted for approval, nor the legality or consequences relating to a person entering into, informing Ascendis Pharma of, or trading under, a Trading Plan.</w:t>
      </w:r>
    </w:p>
    <w:p>
      <w:pPr>
        <w:pStyle w:val="Heading1"/>
        <w:bidi w:val="0"/>
        <w:spacing w:before="60" w:after="120"/>
        <w:jc w:val="left"/>
        <w:rPr>
          <w:rFonts w:ascii="Times New Roman" w:hAnsi="Times New Roman"/>
          <w:sz w:val="20"/>
        </w:rPr>
      </w:pPr>
      <w:r>
        <w:rPr>
          <w:rFonts w:ascii="Arial" w:hAnsi="Arial"/>
          <w:b w:val="false"/>
          <w:color w:val="008EB0"/>
          <w:sz w:val="24"/>
        </w:rPr>
        <w:t>7 Interpretation, Amendment, and Implementation of this Policy</w:t>
      </w:r>
      <w:r>
        <w:rPr>
          <w:rFonts w:ascii="Times New Roman" w:hAnsi="Times New Roman"/>
          <w:color w:val="008EB0"/>
          <w:sz w:val="20"/>
        </w:rPr>
        <w:t xml:space="preserve"> </w:t>
      </w:r>
    </w:p>
    <w:p>
      <w:pPr>
        <w:pStyle w:val="TextBody"/>
        <w:bidi w:val="0"/>
        <w:spacing w:before="0" w:after="180"/>
        <w:jc w:val="both"/>
        <w:rPr>
          <w:rFonts w:ascii="Arial" w:hAnsi="Arial"/>
          <w:color w:val="000000"/>
          <w:sz w:val="20"/>
        </w:rPr>
      </w:pPr>
      <w:r>
        <w:rPr>
          <w:rFonts w:ascii="Arial" w:hAnsi="Arial"/>
          <w:color w:val="000000"/>
          <w:sz w:val="20"/>
        </w:rPr>
        <w:t>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w:t>
      </w:r>
    </w:p>
    <w:p>
      <w:pPr>
        <w:pStyle w:val="TextBody"/>
        <w:bidi w:val="0"/>
        <w:spacing w:before="0" w:after="180"/>
        <w:jc w:val="both"/>
        <w:rPr>
          <w:rFonts w:ascii="Arial" w:hAnsi="Arial"/>
          <w:color w:val="000000"/>
          <w:sz w:val="20"/>
        </w:rPr>
      </w:pPr>
      <w:r>
        <w:rPr>
          <w:rFonts w:ascii="Arial" w:hAnsi="Arial"/>
          <w:color w:val="000000"/>
          <w:sz w:val="20"/>
        </w:rPr>
        <w:t>Actions taken by Ascendis Pharma, the Chief Legal Officer, or any other Company personnel do not constitute legal advice, nor do they insulate you from the consequences of noncompliance with this Policy or with securities laws.</w:t>
      </w:r>
    </w:p>
    <w:p>
      <w:pPr>
        <w:pStyle w:val="TextBody"/>
        <w:bidi w:val="0"/>
        <w:jc w:val="left"/>
        <w:rPr>
          <w:rFonts w:ascii="Times New Roman" w:hAnsi="Times New Roman"/>
          <w:sz w:val="20"/>
        </w:rPr>
      </w:pPr>
      <w:r>
        <w:rPr>
          <w:rFonts w:ascii="Arial" w:hAnsi="Arial"/>
          <w:color w:val="000000"/>
          <w:sz w:val="16"/>
        </w:rPr>
        <w:t>CONFIDENTIAL - FOR INTERNAL USE ONLY</w:t>
      </w:r>
      <w:r>
        <w:rPr>
          <w:rFonts w:ascii="Times New Roman" w:hAnsi="Times New Roman"/>
          <w:color w:val="000000"/>
          <w:sz w:val="20"/>
        </w:rPr>
        <w:t xml:space="preserve"> </w:t>
      </w:r>
      <w:r>
        <w:rPr>
          <w:rFonts w:ascii="Arial" w:hAnsi="Arial"/>
          <w:color w:val="000000"/>
          <w:sz w:val="16"/>
        </w:rPr>
        <w:t>11/ NUMPAGES \* MERGEFORMAT 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asnd-ex12_1.htm"/>
      <w:bookmarkStart w:id="55" w:name="ksasndex12_1"/>
      <w:bookmarkEnd w:id="54"/>
      <w:bookmarkEnd w:id="55"/>
      <w:r>
        <w:rPr>
          <w:rFonts w:ascii="Times New Roman" w:hAnsi="Times New Roman"/>
          <w:b/>
          <w:color w:val="000000"/>
          <w:sz w:val="20"/>
        </w:rPr>
        <w:t>Exhibit 12.1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Jan Møller Mikkelsen,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20-F of Ascendis Pharma A/S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tbl>
      <w:tblPr>
        <w:tblW w:w="2743" w:type="dxa"/>
        <w:jc w:val="left"/>
        <w:tblInd w:w="0" w:type="dxa"/>
        <w:tblLayout w:type="fixed"/>
        <w:tblCellMar>
          <w:top w:w="28" w:type="dxa"/>
          <w:left w:w="28" w:type="dxa"/>
          <w:bottom w:w="28" w:type="dxa"/>
          <w:right w:w="28" w:type="dxa"/>
        </w:tblCellMar>
      </w:tblPr>
      <w:tblGrid>
        <w:gridCol w:w="421"/>
        <w:gridCol w:w="146"/>
        <w:gridCol w:w="21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Jan Møller Mikkelsen</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Jan Møller Mikkelsen</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asnd-ex12_2.htm"/>
      <w:bookmarkStart w:id="57" w:name="ksasndex12_2"/>
      <w:bookmarkEnd w:id="56"/>
      <w:bookmarkEnd w:id="57"/>
      <w:r>
        <w:rPr>
          <w:rFonts w:ascii="Times New Roman" w:hAnsi="Times New Roman"/>
          <w:b/>
          <w:color w:val="000000"/>
          <w:sz w:val="20"/>
        </w:rPr>
        <w:t>Exhibit 12.2</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T. Smith,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20-F of Ascendis Pharma A/S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tbl>
      <w:tblPr>
        <w:tblW w:w="5055" w:type="dxa"/>
        <w:jc w:val="left"/>
        <w:tblInd w:w="0" w:type="dxa"/>
        <w:tblLayout w:type="fixed"/>
        <w:tblCellMar>
          <w:top w:w="28" w:type="dxa"/>
          <w:left w:w="28" w:type="dxa"/>
          <w:bottom w:w="28" w:type="dxa"/>
          <w:right w:w="28" w:type="dxa"/>
        </w:tblCellMar>
      </w:tblPr>
      <w:tblGrid>
        <w:gridCol w:w="1007"/>
        <w:gridCol w:w="349"/>
        <w:gridCol w:w="3699"/>
      </w:tblGrid>
      <w:tr>
        <w:trPr/>
        <w:tc>
          <w:tcPr>
            <w:tcW w:w="100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Scott T. Smith</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T. Smith</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asnd-ex13_1.htm"/>
      <w:bookmarkStart w:id="59" w:name="ksasndex13_1"/>
      <w:bookmarkEnd w:id="58"/>
      <w:bookmarkEnd w:id="59"/>
      <w:r>
        <w:rPr>
          <w:rFonts w:ascii="Times New Roman" w:hAnsi="Times New Roman"/>
          <w:b/>
          <w:color w:val="000000"/>
          <w:sz w:val="20"/>
        </w:rPr>
        <w:t>Exhibit 13.1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 PURSUANT TO 18 U.S.C.</w:t>
      </w:r>
    </w:p>
    <w:p>
      <w:pPr>
        <w:pStyle w:val="TextBody"/>
        <w:bidi w:val="0"/>
        <w:jc w:val="center"/>
        <w:rPr>
          <w:rFonts w:ascii="Times New Roman" w:hAnsi="Times New Roman"/>
          <w:b/>
          <w:color w:val="000000"/>
          <w:sz w:val="20"/>
        </w:rPr>
      </w:pPr>
      <w:r>
        <w:rPr>
          <w:rFonts w:ascii="Times New Roman" w:hAnsi="Times New Roman"/>
          <w:b/>
          <w:color w:val="000000"/>
          <w:sz w:val="20"/>
        </w:rPr>
        <w:t>SECTION 1350,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20-F of Ascendis Pharma A/S (the “Company”) for the year ended December 31, 2025,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tbl>
      <w:tblPr>
        <w:tblW w:w="2743" w:type="dxa"/>
        <w:jc w:val="left"/>
        <w:tblInd w:w="0" w:type="dxa"/>
        <w:tblLayout w:type="fixed"/>
        <w:tblCellMar>
          <w:top w:w="28" w:type="dxa"/>
          <w:left w:w="28" w:type="dxa"/>
          <w:bottom w:w="28" w:type="dxa"/>
          <w:right w:w="28" w:type="dxa"/>
        </w:tblCellMar>
      </w:tblPr>
      <w:tblGrid>
        <w:gridCol w:w="421"/>
        <w:gridCol w:w="146"/>
        <w:gridCol w:w="21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Jan Møller Mikkelsen</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Jan Møller Mikkelsen</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asnd-ex13_2.htm"/>
      <w:bookmarkStart w:id="61" w:name="ksasndex13_2"/>
      <w:bookmarkEnd w:id="60"/>
      <w:bookmarkEnd w:id="61"/>
      <w:r>
        <w:rPr>
          <w:rFonts w:ascii="Times New Roman" w:hAnsi="Times New Roman"/>
          <w:b/>
          <w:color w:val="000000"/>
          <w:sz w:val="20"/>
        </w:rPr>
        <w:t>Exhibit 13.2</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PRINCIPAL FINANCIAL OFFICER PURSUANT TO 18 U.S.C.</w:t>
      </w:r>
    </w:p>
    <w:p>
      <w:pPr>
        <w:pStyle w:val="TextBody"/>
        <w:bidi w:val="0"/>
        <w:jc w:val="center"/>
        <w:rPr>
          <w:rFonts w:ascii="Times New Roman" w:hAnsi="Times New Roman"/>
          <w:b/>
          <w:color w:val="000000"/>
          <w:sz w:val="20"/>
        </w:rPr>
      </w:pPr>
      <w:r>
        <w:rPr>
          <w:rFonts w:ascii="Times New Roman" w:hAnsi="Times New Roman"/>
          <w:b/>
          <w:color w:val="000000"/>
          <w:sz w:val="20"/>
        </w:rPr>
        <w:t>SECTION 1350,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20-F of Ascendis Pharma A/S (the “Company”) for the year ended December 31, 2025,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tbl>
      <w:tblPr>
        <w:tblW w:w="5055" w:type="dxa"/>
        <w:jc w:val="left"/>
        <w:tblInd w:w="0" w:type="dxa"/>
        <w:tblLayout w:type="fixed"/>
        <w:tblCellMar>
          <w:top w:w="28" w:type="dxa"/>
          <w:left w:w="28" w:type="dxa"/>
          <w:bottom w:w="28" w:type="dxa"/>
          <w:right w:w="28" w:type="dxa"/>
        </w:tblCellMar>
      </w:tblPr>
      <w:tblGrid>
        <w:gridCol w:w="1007"/>
        <w:gridCol w:w="349"/>
        <w:gridCol w:w="3699"/>
      </w:tblGrid>
      <w:tr>
        <w:trPr/>
        <w:tc>
          <w:tcPr>
            <w:tcW w:w="100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Scott T. Smith</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T. Smith</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asnd-ex15_1.htm"/>
      <w:bookmarkStart w:id="63" w:name="ksasndex15_1"/>
      <w:bookmarkEnd w:id="62"/>
      <w:bookmarkEnd w:id="63"/>
      <w:r>
        <w:rPr>
          <w:rFonts w:ascii="Times New Roman" w:hAnsi="Times New Roman"/>
          <w:b/>
          <w:color w:val="000000"/>
          <w:sz w:val="20"/>
        </w:rPr>
        <w:t>Exhibit 15.1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333-228576, 333-203040, 333-210810, 333-211512, 333-213412, 333-214843, 333-216883, 333-254101, 333-261550, 333-270088, 333-277519, 333-281916 and 333-285322 on Form S-8 and Registration Statement No. 333-282196 on Form F-3 of our report dated February 11, 2026, relating to the financial statements of Ascendis Pharma A/S and the effectiveness of Ascendis Pharma A/S’s internal control over financial reporting appearing in this Annual Report on Form 20-F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Statsautoriseret Revisionspartnerselskab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Copenhagen, Denmark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February 11,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Aptos">
    <w:altName w:val="sans-serif"/>
    <w:charset w:val="01"/>
    <w:family w:val="auto"/>
    <w:pitch w:val="default"/>
  </w:font>
  <w:font w:name="Apto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Archives/edgar/data/1612042/000119312526045434/d916628dex11.htm" TargetMode="External"/><Relationship Id="rId18" Type="http://schemas.openxmlformats.org/officeDocument/2006/relationships/hyperlink" Target="https://www.sec.gov/Archives/edgar/data/1612042/000119312526045434/d916628dex11.htm" TargetMode="External"/><Relationship Id="rId19" Type="http://schemas.openxmlformats.org/officeDocument/2006/relationships/hyperlink" Target="https://www.sec.gov/Archives/edgar/data/1612042/000119312516447629/d65395dex42.htm" TargetMode="External"/><Relationship Id="rId20" Type="http://schemas.openxmlformats.org/officeDocument/2006/relationships/hyperlink" Target="https://www.sec.gov/Archives/edgar/data/1612042/000119312516447629/d65395dex42.htm" TargetMode="External"/><Relationship Id="rId21" Type="http://schemas.openxmlformats.org/officeDocument/2006/relationships/hyperlink" Target="https://www.sec.gov/Archives/edgar/data/1612042/000119312516447629/d65395dex42.htm" TargetMode="External"/><Relationship Id="rId22" Type="http://schemas.openxmlformats.org/officeDocument/2006/relationships/hyperlink" Target="https://www.sec.gov/Archives/edgar/data/1612042/000119312516447629/d65395dex42.htm" TargetMode="External"/><Relationship Id="rId23" Type="http://schemas.openxmlformats.org/officeDocument/2006/relationships/hyperlink" Target="https://www.sec.gov/Archives/edgar/data/1612042/000119312514446974/d744944dex103a.htm" TargetMode="External"/><Relationship Id="rId24" Type="http://schemas.openxmlformats.org/officeDocument/2006/relationships/hyperlink" Target="https://www.sec.gov/Archives/edgar/data/1612042/000119312514446974/d744944dex103a.htm" TargetMode="External"/><Relationship Id="rId25" Type="http://schemas.openxmlformats.org/officeDocument/2006/relationships/hyperlink" Target="https://www.sec.gov/Archives/edgar/data/1612042/000119312514446974/d744944dex103b.htm" TargetMode="External"/><Relationship Id="rId26" Type="http://schemas.openxmlformats.org/officeDocument/2006/relationships/hyperlink" Target="https://www.sec.gov/Archives/edgar/data/1612042/000119312514446974/d744944dex103b.htm" TargetMode="External"/><Relationship Id="rId27" Type="http://schemas.openxmlformats.org/officeDocument/2006/relationships/hyperlink" Target="https://www.sec.gov/Archives/edgar/data/1612042/000119312524005924/d694929dex11.htm" TargetMode="External"/><Relationship Id="rId28" Type="http://schemas.openxmlformats.org/officeDocument/2006/relationships/hyperlink" Target="https://www.sec.gov/Archives/edgar/data/1612042/000119312524005924/d694929dex11.htm" TargetMode="External"/><Relationship Id="rId29" Type="http://schemas.openxmlformats.org/officeDocument/2006/relationships/hyperlink" Target="https://www.sec.gov/Archives/edgar/data/1612042/000095017025018852/asnd-ex4_2b.htm" TargetMode="External"/><Relationship Id="rId30" Type="http://schemas.openxmlformats.org/officeDocument/2006/relationships/hyperlink" Target="https://www.sec.gov/Archives/edgar/data/1612042/000119312515012416/d744944dex105.htm" TargetMode="External"/><Relationship Id="rId31" Type="http://schemas.openxmlformats.org/officeDocument/2006/relationships/hyperlink" Target="https://www.sec.gov/Archives/edgar/data/1612042/000119312515012416/d744944dex105.htm" TargetMode="External"/><Relationship Id="rId32" Type="http://schemas.openxmlformats.org/officeDocument/2006/relationships/hyperlink" Target="https://www.sec.gov/Archives/edgar/data/1612042/000119312515401787/d105019dex41.htm" TargetMode="External"/><Relationship Id="rId33" Type="http://schemas.openxmlformats.org/officeDocument/2006/relationships/hyperlink" Target="https://www.sec.gov/Archives/edgar/data/1612042/000119312515401787/d105019dex41.htm" TargetMode="External"/><Relationship Id="rId34" Type="http://schemas.openxmlformats.org/officeDocument/2006/relationships/hyperlink" Target="https://www.sec.gov/Archives/edgar/data/1612042/000119312518099514/d445343dex410.htm" TargetMode="External"/><Relationship Id="rId35" Type="http://schemas.openxmlformats.org/officeDocument/2006/relationships/hyperlink" Target="https://www.sec.gov/Archives/edgar/data/1612042/000119312519096759/d654369dex415.htm" TargetMode="External"/><Relationship Id="rId36" Type="http://schemas.openxmlformats.org/officeDocument/2006/relationships/hyperlink" Target="https://www.sec.gov/Archives/edgar/data/1612042/000119312519096759/d654369dex415.htm" TargetMode="External"/><Relationship Id="rId37" Type="http://schemas.openxmlformats.org/officeDocument/2006/relationships/hyperlink" Target="https://www.sec.gov/Archives/edgar/data/1612042/000119312519096759/d654369dex416.htm" TargetMode="External"/><Relationship Id="rId38" Type="http://schemas.openxmlformats.org/officeDocument/2006/relationships/hyperlink" Target="https://www.sec.gov/Archives/edgar/data/1612042/000119312519096759/d654369dex416.htm" TargetMode="External"/><Relationship Id="rId39" Type="http://schemas.openxmlformats.org/officeDocument/2006/relationships/hyperlink" Target="https://www.sec.gov/Archives/edgar/data/1612042/000119312519096759/d654369dex417.htm" TargetMode="External"/><Relationship Id="rId40" Type="http://schemas.openxmlformats.org/officeDocument/2006/relationships/hyperlink" Target="https://www.sec.gov/Archives/edgar/data/1612042/000119312519096759/d654369dex417.htm" TargetMode="External"/><Relationship Id="rId41" Type="http://schemas.openxmlformats.org/officeDocument/2006/relationships/hyperlink" Target="https://www.sec.gov/Archives/edgar/data/1612042/000119312522062998/d232088dex416.htm" TargetMode="External"/><Relationship Id="rId42" Type="http://schemas.openxmlformats.org/officeDocument/2006/relationships/hyperlink" Target="https://www.sec.gov/Archives/edgar/data/1612042/000119312522062998/d232088dex417.htm" TargetMode="External"/><Relationship Id="rId43" Type="http://schemas.openxmlformats.org/officeDocument/2006/relationships/hyperlink" Target="https://www.sec.gov/Archives/edgar/data/1612042/000119312521076349/d123790dex417.htm" TargetMode="External"/><Relationship Id="rId44" Type="http://schemas.openxmlformats.org/officeDocument/2006/relationships/hyperlink" Target="https://www.sec.gov/Archives/edgar/data/1612042/000119312521076349/d123790dex417.htm" TargetMode="External"/><Relationship Id="rId45" Type="http://schemas.openxmlformats.org/officeDocument/2006/relationships/hyperlink" Target="https://www.sec.gov/Archives/edgar/data/1612042/000119312521076349/d123790dex418.htm" TargetMode="External"/><Relationship Id="rId46" Type="http://schemas.openxmlformats.org/officeDocument/2006/relationships/hyperlink" Target="https://www.sec.gov/Archives/edgar/data/1612042/000119312521076349/d123790dex418.htm" TargetMode="External"/><Relationship Id="rId47" Type="http://schemas.openxmlformats.org/officeDocument/2006/relationships/hyperlink" Target="https://www.sec.gov/Archives/edgar/data/1612042/000119312521076349/d123790dex419.htm" TargetMode="External"/><Relationship Id="rId48" Type="http://schemas.openxmlformats.org/officeDocument/2006/relationships/hyperlink" Target="https://www.sec.gov/Archives/edgar/data/1612042/000119312521076349/d123790dex419.htm" TargetMode="External"/><Relationship Id="rId49" Type="http://schemas.openxmlformats.org/officeDocument/2006/relationships/hyperlink" Target="https://www.sec.gov/Archives/edgar/data/1612042/000119312521076349/d123790dex420.htm" TargetMode="External"/><Relationship Id="rId50" Type="http://schemas.openxmlformats.org/officeDocument/2006/relationships/hyperlink" Target="https://www.sec.gov/Archives/edgar/data/1612042/000119312521076349/d123790dex420.htm" TargetMode="External"/><Relationship Id="rId51" Type="http://schemas.openxmlformats.org/officeDocument/2006/relationships/hyperlink" Target="https://www.sec.gov/Archives/edgar/data/1612042/000095017024012212/asnd-ex4_22.htm" TargetMode="External"/><Relationship Id="rId52" Type="http://schemas.openxmlformats.org/officeDocument/2006/relationships/hyperlink" Target="https://www.sec.gov/Archives/edgar/data/1612042/000095017025018852/asnd-ex4_23.htm" TargetMode="External"/><Relationship Id="rId53" Type="http://schemas.openxmlformats.org/officeDocument/2006/relationships/hyperlink" Target="https://www.sec.gov/Archives/edgar/data/1612042/000095017025018852/asnd-ex4_24.htm" TargetMode="External"/><Relationship Id="rId54" Type="http://schemas.openxmlformats.org/officeDocument/2006/relationships/hyperlink" Target="https://www.sec.gov/Archives/edgar/data/1612042/000095017025018852/asnd-ex4_25.htm" TargetMode="External"/><Relationship Id="rId55" Type="http://schemas.openxmlformats.org/officeDocument/2006/relationships/hyperlink" Target="https://www.sec.gov/Archives/edgar/data/1612042/000119312525039200/d920386dex991.htm" TargetMode="External"/><Relationship Id="rId56" Type="http://schemas.openxmlformats.org/officeDocument/2006/relationships/hyperlink" Target="https://www.sec.gov/Archives/edgar/data/1612042/000119312525039200/d920386dex991.htm" TargetMode="External"/><Relationship Id="rId57" Type="http://schemas.openxmlformats.org/officeDocument/2006/relationships/hyperlink" Target="https://www.sec.gov/Archives/edgar/data/1612042/000119312525039200/d920386dex992.htm" TargetMode="External"/><Relationship Id="rId58" Type="http://schemas.openxmlformats.org/officeDocument/2006/relationships/hyperlink" Target="https://www.sec.gov/Archives/edgar/data/1612042/000095017024012212/asnd-ex97_1.htm" TargetMode="External"/><Relationship Id="rId59" Type="http://schemas.openxmlformats.org/officeDocument/2006/relationships/hyperlink" Target="https://www.sec.gov/Archives/edgar/data/1612042/000095017024012212/asnd-ex97_1.htm" TargetMode="External"/><Relationship Id="rId60" Type="http://schemas.openxmlformats.org/officeDocument/2006/relationships/image" Target="media/image16.gif"/><Relationship Id="rId61" Type="http://schemas.openxmlformats.org/officeDocument/2006/relationships/image" Target="media/image16.gif"/><Relationship Id="rId62" Type="http://schemas.openxmlformats.org/officeDocument/2006/relationships/image" Target="media/image17.gif"/><Relationship Id="rId63" Type="http://schemas.openxmlformats.org/officeDocument/2006/relationships/image" Target="media/image17.gif"/><Relationship Id="rId64" Type="http://schemas.openxmlformats.org/officeDocument/2006/relationships/image" Target="media/image18.gif"/><Relationship Id="rId65" Type="http://schemas.openxmlformats.org/officeDocument/2006/relationships/image" Target="media/image19.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159561</Words>
  <Characters>885797</Characters>
  <CharactersWithSpaces>1046533</CharactersWithSpaces>
  <Paragraphs>13780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