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1138d6k.htm"/>
      <w:bookmarkStart w:id="1" w:name="ksd6113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SECTION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2025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001-36815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as an exhibit to this Report on Form 6-K is a press release reporting the financial results of Ascendis Pharma A/S for the fiscal quarter ended June 30, 2025. </w:t>
      </w:r>
    </w:p>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
        <w:gridCol w:w="434"/>
        <w:gridCol w:w="9055"/>
      </w:tblGrid>
      <w:tr>
        <w:trPr/>
        <w:tc>
          <w:tcPr>
            <w:tcW w:w="716"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9055" w:type="dxa"/>
            <w:tcBorders/>
            <w:vAlign w:val="center"/>
          </w:tcPr>
          <w:p>
            <w:pPr>
              <w:pStyle w:val="TableContents"/>
              <w:bidi w:val="0"/>
              <w:spacing w:before="0" w:after="283"/>
              <w:jc w:val="left"/>
              <w:rPr>
                <w:sz w:val="4"/>
                <w:szCs w:val="4"/>
              </w:rPr>
            </w:pPr>
            <w:r>
              <w:rPr>
                <w:sz w:val="4"/>
                <w:szCs w:val="4"/>
              </w:rPr>
            </w:r>
          </w:p>
        </w:tc>
      </w:tr>
      <w:tr>
        <w:trPr/>
        <w:tc>
          <w:tcPr>
            <w:tcW w:w="716" w:type="dxa"/>
            <w:tcBorders/>
            <w:vAlign w:val="bottom"/>
          </w:tcPr>
          <w:p>
            <w:pPr>
              <w:pStyle w:val="TableContents"/>
              <w:bidi w:val="0"/>
              <w:spacing w:before="0" w:after="283"/>
              <w:jc w:val="center"/>
              <w:rPr/>
            </w:pPr>
            <w:r>
              <w:rPr/>
              <w:t>Exhibit</w:t>
              <w:br/>
              <w:t>No.</w:t>
            </w:r>
          </w:p>
        </w:tc>
        <w:tc>
          <w:tcPr>
            <w:tcW w:w="434" w:type="dxa"/>
            <w:tcBorders/>
            <w:vAlign w:val="bottom"/>
          </w:tcPr>
          <w:p>
            <w:pPr>
              <w:pStyle w:val="TableContents"/>
              <w:bidi w:val="0"/>
              <w:spacing w:before="0" w:after="283"/>
              <w:jc w:val="left"/>
              <w:rPr/>
            </w:pPr>
            <w:r>
              <w:rPr/>
              <w:t>  </w:t>
            </w:r>
          </w:p>
        </w:tc>
        <w:tc>
          <w:tcPr>
            <w:tcW w:w="9055" w:type="dxa"/>
            <w:tcBorders/>
            <w:vAlign w:val="bottom"/>
          </w:tcPr>
          <w:p>
            <w:pPr>
              <w:pStyle w:val="TableContents"/>
              <w:bidi w:val="0"/>
              <w:spacing w:before="0" w:after="283"/>
              <w:jc w:val="left"/>
              <w:rPr/>
            </w:pPr>
            <w:r>
              <w:rPr/>
              <w:t>Description</w:t>
            </w:r>
          </w:p>
        </w:tc>
      </w:tr>
      <w:tr>
        <w:trPr>
          <w:trHeight w:val="120" w:hRule="atLeast"/>
        </w:trPr>
        <w:tc>
          <w:tcPr>
            <w:tcW w:w="716" w:type="dxa"/>
            <w:tcBorders/>
            <w:vAlign w:val="center"/>
          </w:tcPr>
          <w:p>
            <w:pPr>
              <w:pStyle w:val="TableContents"/>
              <w:bidi w:val="0"/>
              <w:spacing w:before="0" w:after="283"/>
              <w:jc w:val="left"/>
              <w:rPr>
                <w:sz w:val="4"/>
                <w:szCs w:val="4"/>
              </w:rPr>
            </w:pPr>
            <w:r>
              <w:rPr>
                <w:sz w:val="4"/>
                <w:szCs w:val="4"/>
              </w:rPr>
            </w:r>
          </w:p>
        </w:tc>
        <w:tc>
          <w:tcPr>
            <w:tcW w:w="9489" w:type="dxa"/>
            <w:gridSpan w:val="2"/>
            <w:tcBorders/>
            <w:vAlign w:val="center"/>
          </w:tcPr>
          <w:p>
            <w:pPr>
              <w:pStyle w:val="TableContents"/>
              <w:bidi w:val="0"/>
              <w:spacing w:before="0" w:after="283"/>
              <w:jc w:val="left"/>
              <w:rPr>
                <w:sz w:val="4"/>
                <w:szCs w:val="4"/>
              </w:rPr>
            </w:pPr>
            <w:r>
              <w:rPr>
                <w:sz w:val="4"/>
                <w:szCs w:val="4"/>
              </w:rPr>
            </w:r>
          </w:p>
        </w:tc>
      </w:tr>
      <w:tr>
        <w:trPr/>
        <w:tc>
          <w:tcPr>
            <w:tcW w:w="716" w:type="dxa"/>
            <w:tcBorders/>
          </w:tcPr>
          <w:p>
            <w:pPr>
              <w:pStyle w:val="TableContents"/>
              <w:bidi w:val="0"/>
              <w:spacing w:before="0" w:after="283"/>
              <w:jc w:val="left"/>
              <w:rPr/>
            </w:pPr>
            <w:r>
              <w:rPr/>
              <w:t>99.1</w:t>
            </w:r>
          </w:p>
        </w:tc>
        <w:tc>
          <w:tcPr>
            <w:tcW w:w="434" w:type="dxa"/>
            <w:tcBorders/>
            <w:vAlign w:val="bottom"/>
          </w:tcPr>
          <w:p>
            <w:pPr>
              <w:pStyle w:val="TableContents"/>
              <w:bidi w:val="0"/>
              <w:spacing w:before="0" w:after="283"/>
              <w:jc w:val="left"/>
              <w:rPr/>
            </w:pPr>
            <w:r>
              <w:rPr/>
              <w:t>  </w:t>
            </w:r>
          </w:p>
        </w:tc>
        <w:tc>
          <w:tcPr>
            <w:tcW w:w="9055" w:type="dxa"/>
            <w:tcBorders/>
          </w:tcPr>
          <w:p>
            <w:pPr>
              <w:pStyle w:val="TableContents"/>
              <w:bidi w:val="0"/>
              <w:spacing w:before="0" w:after="283"/>
              <w:jc w:val="left"/>
              <w:rPr/>
            </w:pPr>
            <w:hyperlink w:anchor="d61138dex991.htm">
              <w:r>
                <w:rPr>
                  <w:rStyle w:val="InternetLink"/>
                </w:rPr>
                <w:t xml:space="preserve">Press Release dated August 7, 2025.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7" w:type="dxa"/>
            <w:gridSpan w:val="3"/>
            <w:tcBorders/>
            <w:vAlign w:val="bottom"/>
          </w:tcPr>
          <w:p>
            <w:pPr>
              <w:pStyle w:val="TableContents"/>
              <w:bidi w:val="0"/>
              <w:spacing w:before="0" w:after="283"/>
              <w:jc w:val="left"/>
              <w:rPr>
                <w:b/>
              </w:rPr>
            </w:pPr>
            <w:r>
              <w:rPr>
                <w:b/>
              </w:rPr>
              <w:t>Ascendis Pharma A/S</w:t>
            </w:r>
          </w:p>
        </w:tc>
      </w:tr>
      <w:tr>
        <w:trPr>
          <w:trHeight w:val="240" w:hRule="atLeast"/>
        </w:trPr>
        <w:tc>
          <w:tcPr>
            <w:tcW w:w="457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702" w:type="dxa"/>
            <w:gridSpan w:val="2"/>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pPr>
            <w:r>
              <w:rPr/>
              <w:t>Date: August 7, 2025</w:t>
            </w:r>
          </w:p>
        </w:tc>
        <w:tc>
          <w:tcPr>
            <w:tcW w:w="10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4599" w:type="dxa"/>
            <w:tcBorders>
              <w:bottom w:val="single" w:sz="2" w:space="0" w:color="000000"/>
            </w:tcBorders>
            <w:tcMar>
              <w:bottom w:w="28" w:type="dxa"/>
            </w:tcMar>
            <w:vAlign w:val="bottom"/>
          </w:tcPr>
          <w:p>
            <w:pPr>
              <w:pStyle w:val="TableContents"/>
              <w:bidi w:val="0"/>
              <w:spacing w:before="0" w:after="283"/>
              <w:jc w:val="left"/>
              <w:rPr/>
            </w:pPr>
            <w:r>
              <w:rPr/>
              <w:t>/s/ Michael Wolff Jensen</w:t>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pPr>
            <w:r>
              <w:rPr/>
              <w:t>Michael Wolff Jensen</w:t>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vAlign w:val="bottom"/>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61138dex991.htm"/>
      <w:bookmarkStart w:id="3" w:name="ksd611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6002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42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8"/>
        </w:rPr>
      </w:pPr>
      <w:r>
        <w:rPr>
          <w:rFonts w:ascii="Times New Roman" w:hAnsi="Times New Roman"/>
          <w:b/>
          <w:sz w:val="28"/>
        </w:rPr>
        <w:t xml:space="preserve">PRESS RELEASE </w:t>
      </w:r>
    </w:p>
    <w:p>
      <w:pPr>
        <w:pStyle w:val="TextBody"/>
        <w:bidi w:val="0"/>
        <w:spacing w:before="240" w:after="0"/>
        <w:jc w:val="center"/>
        <w:rPr>
          <w:rFonts w:ascii="Times New Roman" w:hAnsi="Times New Roman"/>
          <w:b/>
          <w:sz w:val="24"/>
        </w:rPr>
      </w:pPr>
      <w:r>
        <w:rPr>
          <w:rFonts w:ascii="Times New Roman" w:hAnsi="Times New Roman"/>
          <w:b/>
          <w:sz w:val="24"/>
        </w:rPr>
        <w:t xml:space="preserve">Ascendis Pharma Reports Second Quarter 2025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 Q2 2025 revenue of 103.0 million for YORVIPATH® and 50.7 million for SKYTROFA® </w:t>
      </w:r>
    </w:p>
    <w:p>
      <w:pPr>
        <w:pStyle w:val="TextBody"/>
        <w:bidi w:val="0"/>
        <w:spacing w:before="120" w:after="0"/>
        <w:jc w:val="center"/>
        <w:rPr>
          <w:rFonts w:ascii="Times New Roman" w:hAnsi="Times New Roman"/>
          <w:i/>
          <w:sz w:val="20"/>
        </w:rPr>
      </w:pPr>
      <w:r>
        <w:rPr>
          <w:rFonts w:ascii="Times New Roman" w:hAnsi="Times New Roman"/>
          <w:i/>
          <w:sz w:val="20"/>
        </w:rPr>
        <w:t xml:space="preserve"> TransCon® CNP (navepegritide) NDA under Priority Review for the treatment of children with achondroplasia with PDUFA date of November 30, 2025 </w:t>
      </w:r>
    </w:p>
    <w:p>
      <w:pPr>
        <w:pStyle w:val="TextBody"/>
        <w:bidi w:val="0"/>
        <w:spacing w:before="120" w:after="0"/>
        <w:jc w:val="center"/>
        <w:rPr>
          <w:rFonts w:ascii="Times New Roman" w:hAnsi="Times New Roman"/>
          <w:i/>
          <w:sz w:val="20"/>
        </w:rPr>
      </w:pPr>
      <w:r>
        <w:rPr>
          <w:rFonts w:ascii="Times New Roman" w:hAnsi="Times New Roman"/>
          <w:i/>
          <w:sz w:val="20"/>
        </w:rPr>
        <w:t xml:space="preserve"> SKYTROFA® (lonapegsomatropin-tcgd) approved in the U.S. for treatment of adults with growth hormone deficiency; first of many planned label expansions </w:t>
      </w:r>
    </w:p>
    <w:p>
      <w:pPr>
        <w:pStyle w:val="TextBody"/>
        <w:bidi w:val="0"/>
        <w:spacing w:before="120" w:after="0"/>
        <w:jc w:val="center"/>
        <w:rPr>
          <w:rFonts w:ascii="Times New Roman" w:hAnsi="Times New Roman"/>
          <w:i/>
          <w:sz w:val="20"/>
        </w:rPr>
      </w:pPr>
      <w:r>
        <w:rPr>
          <w:rFonts w:ascii="Times New Roman" w:hAnsi="Times New Roman"/>
          <w:i/>
          <w:sz w:val="20"/>
        </w:rPr>
        <w:t xml:space="preserve"> Week 26 Interim Results for COACH trial highlight the unique portfolio of once-weekly TransCon CNP and once-weekly TransCon hGH, with complementary modes of action, to potentially further transform the treatment landscape for growth disorders and physical functioning </w:t>
      </w:r>
    </w:p>
    <w:p>
      <w:pPr>
        <w:pStyle w:val="TextBody"/>
        <w:bidi w:val="0"/>
        <w:spacing w:before="120" w:after="0"/>
        <w:jc w:val="center"/>
        <w:rPr>
          <w:rFonts w:ascii="Times New Roman" w:hAnsi="Times New Roman"/>
          <w:i/>
          <w:sz w:val="20"/>
        </w:rPr>
      </w:pPr>
      <w:r>
        <w:rPr>
          <w:rFonts w:ascii="Times New Roman" w:hAnsi="Times New Roman"/>
          <w:i/>
          <w:sz w:val="20"/>
        </w:rPr>
        <w:t xml:space="preserve"> Conference call today at 4:30 pm ET </w:t>
      </w:r>
    </w:p>
    <w:p>
      <w:pPr>
        <w:pStyle w:val="TextBody"/>
        <w:bidi w:val="0"/>
        <w:spacing w:before="240" w:after="0"/>
        <w:jc w:val="left"/>
        <w:rPr>
          <w:rFonts w:ascii="Times New Roman" w:hAnsi="Times New Roman"/>
          <w:sz w:val="20"/>
        </w:rPr>
      </w:pPr>
      <w:r>
        <w:rPr>
          <w:rFonts w:ascii="Times New Roman" w:hAnsi="Times New Roman"/>
          <w:b/>
          <w:sz w:val="20"/>
        </w:rPr>
        <w:t>COPENHAGEN, Denmark, August</w:t>
      </w:r>
      <w:r>
        <w:rPr>
          <w:rFonts w:ascii="Times New Roman" w:hAnsi="Times New Roman"/>
          <w:sz w:val="20"/>
        </w:rPr>
        <w:t> </w:t>
      </w:r>
      <w:r>
        <w:rPr>
          <w:rFonts w:ascii="Times New Roman" w:hAnsi="Times New Roman"/>
          <w:b/>
          <w:sz w:val="20"/>
        </w:rPr>
        <w:t xml:space="preserve">7, 2025 (GLOBE NEWSWIRE)  </w:t>
      </w:r>
      <w:r>
        <w:rPr>
          <w:rFonts w:ascii="Times New Roman" w:hAnsi="Times New Roman"/>
          <w:sz w:val="20"/>
        </w:rPr>
        <w:t xml:space="preserve">Ascendis Pharma A/S (Nasdaq: ASND) today announced financial results for the second quarter ended June 30, 2025, and provided a business update. </w:t>
      </w:r>
    </w:p>
    <w:p>
      <w:pPr>
        <w:pStyle w:val="TextBody"/>
        <w:bidi w:val="0"/>
        <w:spacing w:before="240" w:after="0"/>
        <w:jc w:val="left"/>
        <w:rPr>
          <w:rFonts w:ascii="Times New Roman" w:hAnsi="Times New Roman"/>
          <w:sz w:val="20"/>
        </w:rPr>
      </w:pPr>
      <w:r>
        <w:rPr>
          <w:rFonts w:ascii="Times New Roman" w:hAnsi="Times New Roman"/>
          <w:sz w:val="20"/>
        </w:rPr>
        <w:t xml:space="preserve">With the robust global uptake of YORVIPATH and with TransCon CNP under U.S. FDA priority review, Ascendis is on the verge of bringing our third high-value medicine to patients and substantially transforming our financial profile, said Jan Mikkelsen, Ascendis Pharmas President and Chief Executive Officer. We expect our engine for future innovation to drive continued momentum as we aim to address unmet medical need in endocrine rare diseases and other large indications for years to come on our path to fulfilling Vision 2030. </w:t>
      </w:r>
    </w:p>
    <w:p>
      <w:pPr>
        <w:pStyle w:val="TextBody"/>
        <w:bidi w:val="0"/>
        <w:spacing w:before="360" w:after="0"/>
        <w:jc w:val="left"/>
        <w:rPr>
          <w:rFonts w:ascii="Times New Roman" w:hAnsi="Times New Roman"/>
          <w:b/>
          <w:sz w:val="20"/>
        </w:rPr>
      </w:pPr>
      <w:r>
        <w:rPr>
          <w:rFonts w:ascii="Times New Roman" w:hAnsi="Times New Roman"/>
          <w:b/>
          <w:sz w:val="20"/>
        </w:rPr>
        <w:t xml:space="preserve">Select Highlights &amp; Anticipated 2025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PTH: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(palopegteriparatide, marketed as YORVIPATH)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YORVIPATH revenue for the second quarter of 2025 totaled 103.0 million, including a negative foreign currency impact of 5.8 million compared to the previous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uptake from YORVIPATH in the U.S., with around 3,100 unique patient enrollments and more than 1,500 prescribing health care providers as of June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U.S., YORVIPATH generated revenue from more than 30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Initiated PaTHway60, a single-arm safety and efficacy trial in patients to support U.S. label expansion to enable titration up to 60 µg dose.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Recent presentations at medical conferences in Europe and the U.S. of TransCon PTH data out to four years of treatment demonstrate that preserving the same mode of action and providing active PTH within the physiological range for 24 hours per day comparable to endogenous PTH can normalize key elements such as calcium, phosphate, kidney function, bone turnover, and quality of life.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hGH: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(lonapegsomatropin, marketed as SKYTROFA)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SKYTROFA revenue for the second quarter of 2025 totaled 50.7 million, including a negative foreign currency impact of 1.8 million compared to the previous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SKYTROFA approved by FDA for the replacement of endogenous growth hormone in adults with growth hormone deficiency (GHD).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fourth quarter of 2025, plan to initiate basket trial for several established growth-hormone indications including: Idiopathic Short Stature (ISS), short stature homeobox-containing gene deficiency (SHOX deficiency), Turner syndrome, and Small for Gestational Age (SGA).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CNP: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(navepegritide, NDA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accepted for priority review the New Drug Application (NDA) for the treatment of children with achondroplasia, Prescription Drug User Fee Act (PDUFA) goal date of November 30, 2025. Expect to submit Marketing Authorisation Application (MAA) to the European Medicines Agency (EMA) during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fourth quarter of 2025, plan to submit an IND or similar to investigate TransCon CNP alone and in combination with TransCon hGH for the treatment of hypochondroplasia.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TransCon CNP + TransCon hGH Combination Therapy </w:t>
            </w:r>
          </w:p>
        </w:tc>
      </w:tr>
    </w:tbl>
    <w:p>
      <w:pPr>
        <w:pStyle w:val="TextBody"/>
        <w:bidi w:val="0"/>
        <w:spacing w:before="0" w:after="0"/>
        <w:jc w:val="left"/>
        <w:rPr>
          <w:rFonts w:ascii="Times New Roman" w:hAnsi="Times New Roman"/>
          <w:i/>
          <w:sz w:val="20"/>
        </w:rPr>
      </w:pPr>
      <w:r>
        <w:rPr>
          <w:rFonts w:ascii="Times New Roman" w:hAnsi="Times New Roman"/>
          <w:i/>
          <w:sz w:val="20"/>
        </w:rPr>
        <w:t xml:space="preserve">(navepegritide plus lonapegsomatropin)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Reported interim topline Week 26 data from COACH, the combination TransCon CNP and TransCon hGH trial. Week 26 data showed improved treatment benefits in children with achondroplasia (ages 2-11 years). Week 52 data expected in the fourth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a Phase 3 combination trial expected in the fourth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Oncology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Clinical development of TransCon IL-2 ß/</w:t>
            </w:r>
            <w:r>
              <w:rPr>
                <w:rFonts w:ascii="SYMBOL" w:hAnsi="SYMBOL"/>
                <w:sz w:val="20"/>
              </w:rPr>
              <w:t>g</w:t>
            </w:r>
            <w:r>
              <w:rPr>
                <w:rFonts w:ascii="Times New Roman" w:hAnsi="Times New Roman"/>
                <w:sz w:val="20"/>
              </w:rPr>
              <w:t xml:space="preserve"> continues.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Update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2025, Ascendis Pharma had cash and cash equivalents totaling 494 million, compared to 560 million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2025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Total revenue for the second quarter of 2025 was 158.0 million, compared to 36.0 million during the same period in 2024. The year-over-year increase in revenue was primarily attributable to an increase in product revenue, which reflected a contribution of 97.8 million from YORVIPATH.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898"/>
        <w:gridCol w:w="205"/>
        <w:gridCol w:w="60"/>
        <w:gridCol w:w="863"/>
        <w:gridCol w:w="60"/>
        <w:gridCol w:w="205"/>
        <w:gridCol w:w="60"/>
        <w:gridCol w:w="718"/>
        <w:gridCol w:w="60"/>
        <w:gridCol w:w="205"/>
        <w:gridCol w:w="60"/>
        <w:gridCol w:w="802"/>
        <w:gridCol w:w="60"/>
        <w:gridCol w:w="205"/>
        <w:gridCol w:w="60"/>
        <w:gridCol w:w="802"/>
        <w:gridCol w:w="65"/>
      </w:tblGrid>
      <w:tr>
        <w:trPr/>
        <w:tc>
          <w:tcPr>
            <w:tcW w:w="4898"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98" w:type="dxa"/>
            <w:tcBorders/>
            <w:vAlign w:val="bottom"/>
          </w:tcPr>
          <w:p>
            <w:pPr>
              <w:pStyle w:val="TableContents"/>
              <w:bidi w:val="0"/>
              <w:spacing w:before="0" w:after="283"/>
              <w:jc w:val="left"/>
              <w:rPr>
                <w:b/>
              </w:rPr>
            </w:pPr>
            <w:r>
              <w:rPr>
                <w:b/>
              </w:rPr>
              <w:t>Total Revenue</w:t>
            </w:r>
          </w:p>
        </w:tc>
        <w:tc>
          <w:tcPr>
            <w:tcW w:w="205" w:type="dxa"/>
            <w:tcBorders/>
            <w:vAlign w:val="bottom"/>
          </w:tcPr>
          <w:p>
            <w:pPr>
              <w:pStyle w:val="TableContents"/>
              <w:bidi w:val="0"/>
              <w:spacing w:before="0" w:after="283"/>
              <w:jc w:val="left"/>
              <w:rPr/>
            </w:pPr>
            <w:r>
              <w:rPr/>
              <w:t>  </w:t>
            </w:r>
          </w:p>
        </w:tc>
        <w:tc>
          <w:tcPr>
            <w:tcW w:w="9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898" w:type="dxa"/>
            <w:tcBorders/>
          </w:tcPr>
          <w:p>
            <w:pPr>
              <w:pStyle w:val="TableContents"/>
              <w:bidi w:val="0"/>
              <w:spacing w:before="0" w:after="283"/>
              <w:jc w:val="left"/>
              <w:rPr>
                <w:b/>
              </w:rPr>
            </w:pPr>
            <w:r>
              <w:rPr>
                <w:b/>
              </w:rPr>
              <w:t>(In EUR000s)</w:t>
            </w:r>
          </w:p>
        </w:tc>
        <w:tc>
          <w:tcPr>
            <w:tcW w:w="205" w:type="dxa"/>
            <w:tcBorders/>
            <w:vAlign w:val="bottom"/>
          </w:tcPr>
          <w:p>
            <w:pPr>
              <w:pStyle w:val="TableContents"/>
              <w:bidi w:val="0"/>
              <w:spacing w:before="0" w:after="283"/>
              <w:jc w:val="left"/>
              <w:rPr/>
            </w:pPr>
            <w:r>
              <w:rPr/>
              <w:t>  </w:t>
            </w:r>
          </w:p>
        </w:tc>
        <w:tc>
          <w:tcPr>
            <w:tcW w:w="19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9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5" w:type="dxa"/>
            <w:tcBorders/>
            <w:vAlign w:val="bottom"/>
          </w:tcPr>
          <w:p>
            <w:pPr>
              <w:pStyle w:val="TableContents"/>
              <w:bidi w:val="0"/>
              <w:spacing w:before="0" w:after="283"/>
              <w:jc w:val="left"/>
              <w:rPr/>
            </w:pPr>
            <w:r>
              <w:rPr/>
              <w:t> </w:t>
            </w:r>
          </w:p>
        </w:tc>
      </w:tr>
      <w:tr>
        <w:trPr/>
        <w:tc>
          <w:tcPr>
            <w:tcW w:w="489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48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products</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153,663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31,389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249,690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97,888</w:t>
            </w:r>
          </w:p>
        </w:tc>
        <w:tc>
          <w:tcPr>
            <w:tcW w:w="65" w:type="dxa"/>
            <w:tcBorders/>
            <w:vAlign w:val="bottom"/>
          </w:tcPr>
          <w:p>
            <w:pPr>
              <w:pStyle w:val="TableContents"/>
              <w:bidi w:val="0"/>
              <w:spacing w:before="0" w:after="283"/>
              <w:jc w:val="left"/>
              <w:rPr/>
            </w:pPr>
            <w:r>
              <w:rPr/>
              <w:t> </w:t>
            </w:r>
          </w:p>
        </w:tc>
      </w:tr>
      <w:tr>
        <w:trPr/>
        <w:tc>
          <w:tcPr>
            <w:tcW w:w="4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Rendering of services and clinical supply</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3,570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3,740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7,094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8,365</w:t>
            </w:r>
          </w:p>
        </w:tc>
        <w:tc>
          <w:tcPr>
            <w:tcW w:w="65" w:type="dxa"/>
            <w:tcBorders/>
            <w:shd w:fill="CCEEFF" w:val="clear"/>
            <w:vAlign w:val="bottom"/>
          </w:tcPr>
          <w:p>
            <w:pPr>
              <w:pStyle w:val="TableContents"/>
              <w:bidi w:val="0"/>
              <w:spacing w:before="0" w:after="283"/>
              <w:jc w:val="left"/>
              <w:rPr/>
            </w:pPr>
            <w:r>
              <w:rPr/>
              <w:t> </w:t>
            </w:r>
          </w:p>
        </w:tc>
      </w:tr>
      <w:tr>
        <w:trPr/>
        <w:tc>
          <w:tcPr>
            <w:tcW w:w="4898" w:type="dxa"/>
            <w:tcBorders/>
          </w:tcPr>
          <w:p>
            <w:pPr>
              <w:pStyle w:val="TableContents"/>
              <w:bidi w:val="0"/>
              <w:spacing w:before="0" w:after="0"/>
              <w:jc w:val="left"/>
              <w:rPr>
                <w:rFonts w:ascii="Times New Roman" w:hAnsi="Times New Roman"/>
                <w:sz w:val="20"/>
              </w:rPr>
            </w:pPr>
            <w:r>
              <w:rPr>
                <w:rFonts w:ascii="Times New Roman" w:hAnsi="Times New Roman"/>
                <w:sz w:val="20"/>
              </w:rPr>
              <w:t>Licenses</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812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869</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2,214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25,639</w:t>
            </w:r>
          </w:p>
        </w:tc>
        <w:tc>
          <w:tcPr>
            <w:tcW w:w="65" w:type="dxa"/>
            <w:tcBorders/>
            <w:vAlign w:val="bottom"/>
          </w:tcPr>
          <w:p>
            <w:pPr>
              <w:pStyle w:val="TableContents"/>
              <w:bidi w:val="0"/>
              <w:spacing w:before="0" w:after="283"/>
              <w:jc w:val="left"/>
              <w:rPr/>
            </w:pPr>
            <w:r>
              <w:rPr/>
              <w:t> </w:t>
            </w:r>
          </w:p>
        </w:tc>
      </w:tr>
      <w:tr>
        <w:trPr/>
        <w:tc>
          <w:tcPr>
            <w:tcW w:w="4898"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b/>
              </w:rPr>
            </w:pPr>
            <w:r>
              <w:rPr>
                <w:b/>
              </w:rPr>
              <w:t>158,045</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35,998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258,998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131,892</w:t>
            </w:r>
          </w:p>
        </w:tc>
        <w:tc>
          <w:tcPr>
            <w:tcW w:w="65" w:type="dxa"/>
            <w:tcBorders/>
            <w:shd w:fill="CCEEFF" w:val="clear"/>
            <w:vAlign w:val="bottom"/>
          </w:tcPr>
          <w:p>
            <w:pPr>
              <w:pStyle w:val="TableContents"/>
              <w:bidi w:val="0"/>
              <w:spacing w:before="0" w:after="283"/>
              <w:jc w:val="left"/>
              <w:rPr/>
            </w:pPr>
            <w:r>
              <w:rPr/>
              <w:t> </w:t>
            </w:r>
          </w:p>
        </w:tc>
      </w:tr>
      <w:tr>
        <w:trPr/>
        <w:tc>
          <w:tcPr>
            <w:tcW w:w="4898"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44"/>
        <w:gridCol w:w="194"/>
        <w:gridCol w:w="74"/>
        <w:gridCol w:w="1018"/>
        <w:gridCol w:w="74"/>
        <w:gridCol w:w="215"/>
        <w:gridCol w:w="74"/>
        <w:gridCol w:w="855"/>
        <w:gridCol w:w="60"/>
        <w:gridCol w:w="194"/>
        <w:gridCol w:w="64"/>
        <w:gridCol w:w="863"/>
        <w:gridCol w:w="63"/>
        <w:gridCol w:w="200"/>
        <w:gridCol w:w="64"/>
        <w:gridCol w:w="766"/>
        <w:gridCol w:w="66"/>
      </w:tblGrid>
      <w:tr>
        <w:trPr/>
        <w:tc>
          <w:tcPr>
            <w:tcW w:w="4544"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544" w:type="dxa"/>
            <w:tcBorders/>
            <w:vAlign w:val="bottom"/>
          </w:tcPr>
          <w:p>
            <w:pPr>
              <w:pStyle w:val="TableContents"/>
              <w:bidi w:val="0"/>
              <w:spacing w:before="0" w:after="283"/>
              <w:jc w:val="left"/>
              <w:rPr>
                <w:b/>
              </w:rPr>
            </w:pPr>
            <w:r>
              <w:rPr>
                <w:b/>
              </w:rPr>
              <w:t>Commercial Product Revenue</w:t>
            </w:r>
          </w:p>
        </w:tc>
        <w:tc>
          <w:tcPr>
            <w:tcW w:w="194"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27"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4544" w:type="dxa"/>
            <w:tcBorders/>
          </w:tcPr>
          <w:p>
            <w:pPr>
              <w:pStyle w:val="TableContents"/>
              <w:bidi w:val="0"/>
              <w:spacing w:before="0" w:after="283"/>
              <w:jc w:val="left"/>
              <w:rPr>
                <w:b/>
              </w:rPr>
            </w:pPr>
            <w:r>
              <w:rPr>
                <w:b/>
              </w:rPr>
              <w:t>(In EUR000s)</w:t>
            </w:r>
          </w:p>
        </w:tc>
        <w:tc>
          <w:tcPr>
            <w:tcW w:w="194"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6" w:type="dxa"/>
            <w:tcBorders/>
            <w:vAlign w:val="bottom"/>
          </w:tcPr>
          <w:p>
            <w:pPr>
              <w:pStyle w:val="TableContents"/>
              <w:bidi w:val="0"/>
              <w:spacing w:before="0" w:after="283"/>
              <w:jc w:val="left"/>
              <w:rPr/>
            </w:pPr>
            <w:r>
              <w:rPr/>
              <w:t> </w:t>
            </w:r>
          </w:p>
        </w:tc>
      </w:tr>
      <w:tr>
        <w:trPr/>
        <w:tc>
          <w:tcPr>
            <w:tcW w:w="454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r>
      <w:tr>
        <w:trPr/>
        <w:tc>
          <w:tcPr>
            <w:tcW w:w="4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from commercial products</w:t>
            </w:r>
          </w:p>
        </w:tc>
        <w:tc>
          <w:tcPr>
            <w:tcW w:w="19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544" w:type="dxa"/>
            <w:tcBorders/>
          </w:tcPr>
          <w:p>
            <w:pPr>
              <w:pStyle w:val="TableContents"/>
              <w:bidi w:val="0"/>
              <w:spacing w:before="0" w:after="0"/>
              <w:jc w:val="left"/>
              <w:rPr>
                <w:rFonts w:ascii="Times New Roman" w:hAnsi="Times New Roman"/>
                <w:sz w:val="20"/>
              </w:rPr>
            </w:pPr>
            <w:r>
              <w:rPr>
                <w:rFonts w:ascii="Times New Roman" w:hAnsi="Times New Roman"/>
                <w:sz w:val="20"/>
              </w:rPr>
              <w:t>SKYTROFA®</w:t>
            </w:r>
          </w:p>
        </w:tc>
        <w:tc>
          <w:tcPr>
            <w:tcW w:w="19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50,706</w:t>
            </w:r>
          </w:p>
        </w:tc>
        <w:tc>
          <w:tcPr>
            <w:tcW w:w="7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26,202</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102,044</w:t>
            </w:r>
          </w:p>
        </w:tc>
        <w:tc>
          <w:tcPr>
            <w:tcW w:w="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91,207</w:t>
            </w:r>
          </w:p>
        </w:tc>
        <w:tc>
          <w:tcPr>
            <w:tcW w:w="66" w:type="dxa"/>
            <w:tcBorders/>
            <w:vAlign w:val="bottom"/>
          </w:tcPr>
          <w:p>
            <w:pPr>
              <w:pStyle w:val="TableContents"/>
              <w:bidi w:val="0"/>
              <w:spacing w:before="0" w:after="283"/>
              <w:jc w:val="left"/>
              <w:rPr/>
            </w:pPr>
            <w:r>
              <w:rPr/>
              <w:t> </w:t>
            </w:r>
          </w:p>
        </w:tc>
      </w:tr>
      <w:tr>
        <w:trPr/>
        <w:tc>
          <w:tcPr>
            <w:tcW w:w="4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YORVIPATH®</w:t>
            </w:r>
          </w:p>
        </w:tc>
        <w:tc>
          <w:tcPr>
            <w:tcW w:w="19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102,957</w:t>
            </w:r>
          </w:p>
        </w:tc>
        <w:tc>
          <w:tcPr>
            <w:tcW w:w="74"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5,187</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147,646</w:t>
            </w:r>
          </w:p>
        </w:tc>
        <w:tc>
          <w:tcPr>
            <w:tcW w:w="6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6,681</w:t>
            </w:r>
          </w:p>
        </w:tc>
        <w:tc>
          <w:tcPr>
            <w:tcW w:w="66" w:type="dxa"/>
            <w:tcBorders/>
            <w:shd w:fill="CCEEFF" w:val="clear"/>
            <w:vAlign w:val="bottom"/>
          </w:tcPr>
          <w:p>
            <w:pPr>
              <w:pStyle w:val="TableContents"/>
              <w:bidi w:val="0"/>
              <w:spacing w:before="0" w:after="283"/>
              <w:jc w:val="left"/>
              <w:rPr/>
            </w:pPr>
            <w:r>
              <w:rPr/>
              <w:t> </w:t>
            </w:r>
          </w:p>
        </w:tc>
      </w:tr>
      <w:tr>
        <w:trPr/>
        <w:tc>
          <w:tcPr>
            <w:tcW w:w="4544"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5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 from commercial products</w:t>
            </w:r>
          </w:p>
        </w:tc>
        <w:tc>
          <w:tcPr>
            <w:tcW w:w="19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153,663</w:t>
            </w:r>
          </w:p>
        </w:tc>
        <w:tc>
          <w:tcPr>
            <w:tcW w:w="7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b/>
              </w:rPr>
            </w:pPr>
            <w:r>
              <w:rPr>
                <w:b/>
              </w:rPr>
              <w:t>31,389</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b/>
              </w:rPr>
            </w:pPr>
            <w:r>
              <w:rPr>
                <w:b/>
              </w:rPr>
              <w:t>249,690</w:t>
            </w:r>
          </w:p>
        </w:tc>
        <w:tc>
          <w:tcPr>
            <w:tcW w:w="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97,888</w:t>
            </w:r>
          </w:p>
        </w:tc>
        <w:tc>
          <w:tcPr>
            <w:tcW w:w="66" w:type="dxa"/>
            <w:tcBorders/>
            <w:vAlign w:val="bottom"/>
          </w:tcPr>
          <w:p>
            <w:pPr>
              <w:pStyle w:val="TableContents"/>
              <w:bidi w:val="0"/>
              <w:spacing w:before="0" w:after="283"/>
              <w:jc w:val="left"/>
              <w:rPr/>
            </w:pPr>
            <w:r>
              <w:rPr/>
              <w:t> </w:t>
            </w:r>
          </w:p>
        </w:tc>
      </w:tr>
      <w:tr>
        <w:trPr/>
        <w:tc>
          <w:tcPr>
            <w:tcW w:w="4544"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for the second quarter of 2025 were 72.0 million, compared to 83.5 million during the same period in 2024. The decrease was driven by the maturity of clinical trials within our growth disorders portfolio. </w:t>
      </w:r>
    </w:p>
    <w:p>
      <w:pPr>
        <w:pStyle w:val="TextBody"/>
        <w:bidi w:val="0"/>
        <w:spacing w:before="240" w:after="0"/>
        <w:jc w:val="left"/>
        <w:rPr>
          <w:rFonts w:ascii="Times New Roman" w:hAnsi="Times New Roman"/>
          <w:sz w:val="20"/>
        </w:rPr>
      </w:pPr>
      <w:r>
        <w:rPr>
          <w:rFonts w:ascii="Times New Roman" w:hAnsi="Times New Roman"/>
          <w:sz w:val="20"/>
        </w:rPr>
        <w:t xml:space="preserve">Selling, general, and administrative expenses for the second quarter of 2025 were 107.6 million, compared to 74.3 million during the same period in 2024. The increase was primarily due to the continued impact from commercial expansion, including global launch activities for YORVIPATH.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expenses for the second quarter of 2025 were 179.5 million, compared to 157.8 million during the same period in 2024. </w:t>
      </w:r>
    </w:p>
    <w:p>
      <w:pPr>
        <w:pStyle w:val="TextBody"/>
        <w:bidi w:val="0"/>
        <w:spacing w:before="240" w:after="0"/>
        <w:jc w:val="left"/>
        <w:rPr>
          <w:rFonts w:ascii="Times New Roman" w:hAnsi="Times New Roman"/>
          <w:sz w:val="20"/>
        </w:rPr>
      </w:pPr>
      <w:r>
        <w:rPr>
          <w:rFonts w:ascii="Times New Roman" w:hAnsi="Times New Roman"/>
          <w:sz w:val="20"/>
        </w:rPr>
        <w:t xml:space="preserve">Net finance income for the second quarter of 2025 was 22.0 million, compared to 29.4 million during the same period in 2024. The decrease was primarily driven by non-cash items.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of 2025, Ascendis Pharma reported a net loss of 38.9 million, or 0.64 per share basic and 0.82 diluted compared to a net loss of 109.4 million, or 1.91 per share basic and 2.21 diluted for the same period in 2024.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2025, Ascendis Pharma had cash and cash equivalents totaling 494 million compared to 560 million as of December 31, 2024. As of June 30, 2025, Ascendis Pharma had 61,151,463 ordinary shares outstanding, including 597,055 ordinary shares represented by ADSs held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and Webcast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Ascendis Pharma will host a conference call and webcast today at 4:30 pm Eastern Time (ET) to discuss its second quarter 2025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Those who would like to participate may access the live webcast </w:t>
      </w:r>
      <w:r>
        <w:rPr>
          <w:rFonts w:ascii="Times New Roman" w:hAnsi="Times New Roman"/>
          <w:color w:val="0000FF"/>
          <w:sz w:val="20"/>
          <w:u w:val="single"/>
        </w:rPr>
        <w:t>here</w:t>
      </w:r>
      <w:r>
        <w:rPr>
          <w:rFonts w:ascii="Times New Roman" w:hAnsi="Times New Roman"/>
          <w:sz w:val="20"/>
        </w:rPr>
        <w:t xml:space="preserve">, or register in advance for the teleconference </w:t>
      </w:r>
      <w:r>
        <w:rPr>
          <w:rFonts w:ascii="Times New Roman" w:hAnsi="Times New Roman"/>
          <w:color w:val="0000FF"/>
          <w:sz w:val="20"/>
          <w:u w:val="single"/>
        </w:rPr>
        <w:t>here</w:t>
      </w:r>
      <w:r>
        <w:rPr>
          <w:rFonts w:ascii="Times New Roman" w:hAnsi="Times New Roman"/>
          <w:sz w:val="20"/>
        </w:rPr>
        <w:t xml:space="preserve">. The link to the live webcast will also be available on the Investors &amp; News section of the Ascendis Pharma website at </w:t>
      </w:r>
      <w:r>
        <w:rPr>
          <w:rFonts w:ascii="Times New Roman" w:hAnsi="Times New Roman"/>
          <w:color w:val="0000FF"/>
          <w:sz w:val="20"/>
          <w:u w:val="single"/>
        </w:rPr>
        <w:t>https://investors.ascendispharma.com</w:t>
      </w:r>
      <w:r>
        <w:rPr>
          <w:rFonts w:ascii="Times New Roman" w:hAnsi="Times New Roman"/>
          <w:sz w:val="20"/>
        </w:rPr>
        <w:t xml:space="preserve">. A replay of the webcast will be available in this section of the Ascendis Pharma website shortly after the conclusion of the event for 30 days. </w:t>
      </w:r>
    </w:p>
    <w:p>
      <w:pPr>
        <w:pStyle w:val="TextBody"/>
        <w:bidi w:val="0"/>
        <w:spacing w:before="360" w:after="0"/>
        <w:jc w:val="left"/>
        <w:rPr>
          <w:rFonts w:ascii="Times New Roman" w:hAnsi="Times New Roman"/>
          <w:b/>
          <w:sz w:val="20"/>
        </w:rPr>
      </w:pPr>
      <w:r>
        <w:rPr>
          <w:rFonts w:ascii="Times New Roman" w:hAnsi="Times New Roman"/>
          <w:b/>
          <w:sz w:val="20"/>
        </w:rPr>
        <w:t>About Ascendis Pharma A/S</w:t>
      </w:r>
    </w:p>
    <w:p>
      <w:pPr>
        <w:pStyle w:val="TextBody"/>
        <w:bidi w:val="0"/>
        <w:spacing w:before="120" w:after="0"/>
        <w:jc w:val="left"/>
        <w:rPr>
          <w:rFonts w:ascii="Times New Roman" w:hAnsi="Times New Roman"/>
          <w:sz w:val="20"/>
        </w:rPr>
      </w:pPr>
      <w:r>
        <w:rPr>
          <w:rFonts w:ascii="Times New Roman" w:hAnsi="Times New Roman"/>
          <w:sz w:val="20"/>
        </w:rPr>
        <w:t xml:space="preserve">Ascendis Pharma is a global biopharmaceutical company focused on applying our innovative TransCon technology platform to make a meaningful difference for patients. Guided by our core values of Patients, Science, and Passion, and following our algorithm for product innovation, we apply TransCon to develop new therapies that demonstrate best-in-class potential to address unmet medical needs. Ascendis is headquartered in Copenhagen, Denmark and has additional facilities in Europe and the United States. Please visit </w:t>
      </w:r>
      <w:r>
        <w:rPr>
          <w:rFonts w:ascii="Times New Roman" w:hAnsi="Times New Roman"/>
          <w:color w:val="0000FF"/>
          <w:sz w:val="20"/>
          <w:u w:val="single"/>
        </w:rPr>
        <w:t>ascendispharma.com</w:t>
      </w:r>
      <w:r>
        <w:rPr>
          <w:rFonts w:ascii="Times New Roman" w:hAnsi="Times New Roman"/>
          <w:sz w:val="20"/>
        </w:rPr>
        <w:t xml:space="preserve"> to learn more.</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involve substantial risks and uncertainties. All statements, other than statements of historical facts, included in this press release regarding Ascendis future operations, plans and objectives of management are forward-looking statements. Examples of such statements include, but are not limited to, statements relating to (i) Ascendis planned MAA submission for TransCon CNP; (ii) the timing and results of clinical trials; (iii) Ascendis expectations with respect to its revenue base and path to cashflow breakeven; (iv) the potential approval of TransCon CNP as a monotherapy in children with achondroplasia; (v) Ascendis ability to provide patients with highly differentiated medicines; (vi) the planned label expansions of SKYTROFA; (vii) Ascendis expectations regarding the PDUFA date for TransCon CNP; (viii) Ascendis plans to submit IND applications or similar for a basket trial evaluating TransCon hGH in additional indications and to investigate TransCon CNP alone or in combination with TransCon hGH for the treatment of hypochondroplasia; (ix) Ascendis ability to apply its TransCon technology platform to make a meaningful difference for patients, and (x) Ascendis application of its TransCon technologies to develop new therapies that demonstrate best-in-class potential to address unmet medical needs.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dependence on third party manufacturers, distributors and service providers for Ascendis products and product candidates; unforeseen safety or efficacy results in Ascendis development programs or on-market products; unforeseen expenses related to commercialization of any approved Ascendis products; unforeseen expenses related to Ascendis development programs; unforeseen selling, general and administrative expenses, other research and development expenses and Ascendis business generally; delays in the development of its programs related to manufacturing, regulatory requirements, speed of patient recruitment or other unforeseen delays; Ascendis ability to obtain additional funding, if needed,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support its business activities; the impact of international economic, political, legal, compliance, social and business factors, including tariffs and trade policies.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12, 2025,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p>
    <w:p>
      <w:pPr>
        <w:pStyle w:val="TextBody"/>
        <w:bidi w:val="0"/>
        <w:spacing w:before="240" w:after="0"/>
        <w:jc w:val="left"/>
        <w:rPr>
          <w:rFonts w:ascii="Times New Roman" w:hAnsi="Times New Roman"/>
          <w:i/>
          <w:sz w:val="20"/>
        </w:rPr>
      </w:pPr>
      <w:r>
        <w:rPr>
          <w:rFonts w:ascii="Times New Roman" w:hAnsi="Times New Roman"/>
          <w:i/>
          <w:sz w:val="20"/>
        </w:rPr>
        <w:t xml:space="preserve">Ascendis, Ascendis Pharma, the Ascendis Pharma logo, the company logo, TransCon, SKYTROFA®, and YORVIPATH® are trademarks owned by the Ascendis Pharma group. </w:t>
      </w:r>
    </w:p>
    <w:p>
      <w:pPr>
        <w:pStyle w:val="TextBody"/>
        <w:bidi w:val="0"/>
        <w:spacing w:before="0" w:after="0"/>
        <w:jc w:val="left"/>
        <w:rPr>
          <w:rFonts w:ascii="Times New Roman" w:hAnsi="Times New Roman"/>
          <w:i/>
          <w:sz w:val="20"/>
        </w:rPr>
      </w:pPr>
      <w:r>
        <w:rPr>
          <w:rFonts w:ascii="Times New Roman" w:hAnsi="Times New Roman"/>
          <w:i/>
          <w:sz w:val="20"/>
        </w:rPr>
        <w:t xml:space="preserve">© August 2025 Ascendis Pharma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6"/>
        <w:gridCol w:w="121"/>
        <w:gridCol w:w="6088"/>
      </w:tblGrid>
      <w:tr>
        <w:trPr/>
        <w:tc>
          <w:tcPr>
            <w:tcW w:w="39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88" w:type="dxa"/>
            <w:tcBorders/>
            <w:vAlign w:val="center"/>
          </w:tcPr>
          <w:p>
            <w:pPr>
              <w:pStyle w:val="TableContents"/>
              <w:bidi w:val="0"/>
              <w:spacing w:before="0" w:after="283"/>
              <w:jc w:val="left"/>
              <w:rPr>
                <w:sz w:val="4"/>
                <w:szCs w:val="4"/>
              </w:rPr>
            </w:pPr>
            <w:r>
              <w:rPr>
                <w:sz w:val="4"/>
                <w:szCs w:val="4"/>
              </w:rPr>
            </w:r>
          </w:p>
        </w:tc>
      </w:tr>
      <w:tr>
        <w:trPr/>
        <w:tc>
          <w:tcPr>
            <w:tcW w:w="3996" w:type="dxa"/>
            <w:tcBorders/>
          </w:tcPr>
          <w:p>
            <w:pPr>
              <w:pStyle w:val="TableContents"/>
              <w:bidi w:val="0"/>
              <w:spacing w:before="0" w:after="283"/>
              <w:jc w:val="left"/>
              <w:rPr>
                <w:b/>
                <w:u w:val="single"/>
              </w:rPr>
            </w:pPr>
            <w:r>
              <w:rPr>
                <w:b/>
                <w:u w:val="single"/>
              </w:rPr>
              <w:t>Investor Contacts:</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b/>
                <w:u w:val="single"/>
              </w:rPr>
            </w:pPr>
            <w:r>
              <w:rPr>
                <w:b/>
                <w:u w:val="single"/>
              </w:rPr>
              <w:t>Media Contact:</w:t>
            </w:r>
          </w:p>
        </w:tc>
      </w:tr>
      <w:tr>
        <w:trPr/>
        <w:tc>
          <w:tcPr>
            <w:tcW w:w="3996" w:type="dxa"/>
            <w:tcBorders/>
          </w:tcPr>
          <w:p>
            <w:pPr>
              <w:pStyle w:val="TableContents"/>
              <w:bidi w:val="0"/>
              <w:spacing w:before="0" w:after="283"/>
              <w:jc w:val="left"/>
              <w:rPr/>
            </w:pPr>
            <w:r>
              <w:rPr/>
              <w:t>Sarada Weerasinghe</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pPr>
            <w:r>
              <w:rPr/>
              <w:t>Melinda Baker</w:t>
            </w:r>
          </w:p>
        </w:tc>
      </w:tr>
      <w:tr>
        <w:trPr/>
        <w:tc>
          <w:tcPr>
            <w:tcW w:w="3996" w:type="dxa"/>
            <w:tcBorders/>
          </w:tcPr>
          <w:p>
            <w:pPr>
              <w:pStyle w:val="TableContents"/>
              <w:bidi w:val="0"/>
              <w:spacing w:before="0" w:after="283"/>
              <w:jc w:val="left"/>
              <w:rPr/>
            </w:pPr>
            <w:r>
              <w:rPr/>
              <w:t>Ascendis Pharma</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pPr>
            <w:r>
              <w:rPr/>
              <w:t>Ascendis Pharma</w:t>
            </w:r>
          </w:p>
        </w:tc>
      </w:tr>
      <w:tr>
        <w:trPr/>
        <w:tc>
          <w:tcPr>
            <w:tcW w:w="3996" w:type="dxa"/>
            <w:tcBorders/>
          </w:tcPr>
          <w:p>
            <w:pPr>
              <w:pStyle w:val="TableContents"/>
              <w:bidi w:val="0"/>
              <w:spacing w:before="0" w:after="283"/>
              <w:jc w:val="left"/>
              <w:rPr>
                <w:color w:val="0000FF"/>
                <w:u w:val="single"/>
              </w:rPr>
            </w:pPr>
            <w:r>
              <w:rPr>
                <w:color w:val="0000FF"/>
                <w:u w:val="single"/>
              </w:rPr>
              <w:t>ir@ascendispharma.com</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color w:val="0000FF"/>
                <w:u w:val="single"/>
              </w:rPr>
            </w:pPr>
            <w:r>
              <w:rPr>
                <w:color w:val="0000FF"/>
                <w:u w:val="single"/>
              </w:rPr>
              <w:t>media@ascendispharma.com</w:t>
            </w:r>
          </w:p>
        </w:tc>
      </w:tr>
      <w:tr>
        <w:trPr>
          <w:trHeight w:val="240" w:hRule="atLeast"/>
        </w:trPr>
        <w:tc>
          <w:tcPr>
            <w:tcW w:w="3996" w:type="dxa"/>
            <w:tcBorders/>
            <w:vAlign w:val="center"/>
          </w:tcPr>
          <w:p>
            <w:pPr>
              <w:pStyle w:val="TableContents"/>
              <w:bidi w:val="0"/>
              <w:spacing w:before="0" w:after="283"/>
              <w:jc w:val="left"/>
              <w:rPr>
                <w:sz w:val="4"/>
                <w:szCs w:val="4"/>
              </w:rPr>
            </w:pPr>
            <w:r>
              <w:rPr>
                <w:sz w:val="4"/>
                <w:szCs w:val="4"/>
              </w:rPr>
            </w:r>
          </w:p>
        </w:tc>
        <w:tc>
          <w:tcPr>
            <w:tcW w:w="6209" w:type="dxa"/>
            <w:gridSpan w:val="2"/>
            <w:tcBorders/>
            <w:vAlign w:val="center"/>
          </w:tcPr>
          <w:p>
            <w:pPr>
              <w:pStyle w:val="TableContents"/>
              <w:bidi w:val="0"/>
              <w:spacing w:before="0" w:after="283"/>
              <w:jc w:val="left"/>
              <w:rPr>
                <w:sz w:val="4"/>
                <w:szCs w:val="4"/>
              </w:rPr>
            </w:pPr>
            <w:r>
              <w:rPr>
                <w:sz w:val="4"/>
                <w:szCs w:val="4"/>
              </w:rPr>
            </w:r>
          </w:p>
        </w:tc>
      </w:tr>
      <w:tr>
        <w:trPr/>
        <w:tc>
          <w:tcPr>
            <w:tcW w:w="3996" w:type="dxa"/>
            <w:tcBorders/>
          </w:tcPr>
          <w:p>
            <w:pPr>
              <w:pStyle w:val="TableContents"/>
              <w:bidi w:val="0"/>
              <w:spacing w:before="0" w:after="283"/>
              <w:jc w:val="left"/>
              <w:rPr/>
            </w:pPr>
            <w:r>
              <w:rPr/>
              <w:t>Patti Bank</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sz w:val="4"/>
                <w:szCs w:val="4"/>
              </w:rPr>
            </w:pPr>
            <w:r>
              <w:rPr>
                <w:sz w:val="4"/>
                <w:szCs w:val="4"/>
              </w:rPr>
            </w:r>
          </w:p>
        </w:tc>
      </w:tr>
      <w:tr>
        <w:trPr/>
        <w:tc>
          <w:tcPr>
            <w:tcW w:w="3996" w:type="dxa"/>
            <w:tcBorders/>
          </w:tcPr>
          <w:p>
            <w:pPr>
              <w:pStyle w:val="TableContents"/>
              <w:bidi w:val="0"/>
              <w:spacing w:before="0" w:after="283"/>
              <w:jc w:val="left"/>
              <w:rPr/>
            </w:pPr>
            <w:r>
              <w:rPr/>
              <w:t>ICR Healthcare</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sz w:val="4"/>
                <w:szCs w:val="4"/>
              </w:rPr>
            </w:pPr>
            <w:r>
              <w:rPr>
                <w:sz w:val="4"/>
                <w:szCs w:val="4"/>
              </w:rPr>
            </w:r>
          </w:p>
        </w:tc>
      </w:tr>
      <w:tr>
        <w:trPr/>
        <w:tc>
          <w:tcPr>
            <w:tcW w:w="3996" w:type="dxa"/>
            <w:tcBorders/>
          </w:tcPr>
          <w:p>
            <w:pPr>
              <w:pStyle w:val="TableContents"/>
              <w:bidi w:val="0"/>
              <w:spacing w:before="0" w:after="283"/>
              <w:jc w:val="left"/>
              <w:rPr/>
            </w:pPr>
            <w:r>
              <w:rPr/>
              <w:t>+1 (415) 513-1284</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sz w:val="4"/>
                <w:szCs w:val="4"/>
              </w:rPr>
            </w:pPr>
            <w:r>
              <w:rPr>
                <w:sz w:val="4"/>
                <w:szCs w:val="4"/>
              </w:rPr>
            </w:r>
          </w:p>
        </w:tc>
      </w:tr>
      <w:tr>
        <w:trPr/>
        <w:tc>
          <w:tcPr>
            <w:tcW w:w="3996" w:type="dxa"/>
            <w:tcBorders/>
          </w:tcPr>
          <w:p>
            <w:pPr>
              <w:pStyle w:val="TableContents"/>
              <w:bidi w:val="0"/>
              <w:spacing w:before="0" w:after="283"/>
              <w:jc w:val="left"/>
              <w:rPr>
                <w:color w:val="0000FF"/>
                <w:u w:val="single"/>
              </w:rPr>
            </w:pPr>
            <w:r>
              <w:rPr>
                <w:color w:val="0000FF"/>
                <w:u w:val="single"/>
              </w:rPr>
              <w:t>patti.bank@icrhealthcare.com</w:t>
            </w:r>
          </w:p>
        </w:tc>
        <w:tc>
          <w:tcPr>
            <w:tcW w:w="121" w:type="dxa"/>
            <w:tcBorders/>
            <w:vAlign w:val="bottom"/>
          </w:tcPr>
          <w:p>
            <w:pPr>
              <w:pStyle w:val="TableContents"/>
              <w:bidi w:val="0"/>
              <w:spacing w:before="0" w:after="283"/>
              <w:jc w:val="left"/>
              <w:rPr/>
            </w:pPr>
            <w:r>
              <w:rPr/>
              <w:t>  </w:t>
            </w:r>
          </w:p>
        </w:tc>
        <w:tc>
          <w:tcPr>
            <w:tcW w:w="608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1"/>
        <w:gridCol w:w="288"/>
        <w:gridCol w:w="65"/>
        <w:gridCol w:w="889"/>
        <w:gridCol w:w="170"/>
        <w:gridCol w:w="238"/>
        <w:gridCol w:w="65"/>
        <w:gridCol w:w="969"/>
        <w:gridCol w:w="431"/>
        <w:gridCol w:w="233"/>
        <w:gridCol w:w="60"/>
        <w:gridCol w:w="886"/>
        <w:gridCol w:w="155"/>
        <w:gridCol w:w="233"/>
        <w:gridCol w:w="59"/>
        <w:gridCol w:w="886"/>
        <w:gridCol w:w="267"/>
      </w:tblGrid>
      <w:tr>
        <w:trPr/>
        <w:tc>
          <w:tcPr>
            <w:tcW w:w="4311"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311" w:type="dxa"/>
            <w:tcBorders/>
          </w:tcPr>
          <w:p>
            <w:pPr>
              <w:pStyle w:val="TableContents"/>
              <w:bidi w:val="0"/>
              <w:spacing w:before="0" w:after="0"/>
              <w:jc w:val="left"/>
              <w:rPr>
                <w:rFonts w:ascii="Times New Roman" w:hAnsi="Times New Roman"/>
                <w:b/>
                <w:sz w:val="20"/>
              </w:rPr>
            </w:pPr>
            <w:r>
              <w:rPr>
                <w:rFonts w:ascii="Times New Roman" w:hAnsi="Times New Roman"/>
                <w:b/>
                <w:sz w:val="20"/>
              </w:rPr>
              <w:t>Ascendis Pharma A/S</w:t>
            </w:r>
          </w:p>
          <w:p>
            <w:pPr>
              <w:pStyle w:val="TableContents"/>
              <w:bidi w:val="0"/>
              <w:spacing w:before="0" w:after="20"/>
              <w:jc w:val="left"/>
              <w:rPr>
                <w:rFonts w:ascii="Times New Roman" w:hAnsi="Times New Roman"/>
                <w:b/>
                <w:sz w:val="20"/>
              </w:rPr>
            </w:pPr>
            <w:r>
              <w:rPr>
                <w:rFonts w:ascii="Times New Roman" w:hAnsi="Times New Roman"/>
                <w:b/>
                <w:sz w:val="20"/>
              </w:rPr>
              <w:t>Consolidated Statements of Profit or (Loss) and</w:t>
            </w:r>
          </w:p>
        </w:tc>
        <w:tc>
          <w:tcPr>
            <w:tcW w:w="288"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sz w:val="4"/>
                <w:szCs w:val="4"/>
              </w:rPr>
            </w:pPr>
            <w:r>
              <w:rPr>
                <w:sz w:val="4"/>
                <w:szCs w:val="4"/>
              </w:rPr>
            </w:r>
          </w:p>
        </w:tc>
        <w:tc>
          <w:tcPr>
            <w:tcW w:w="889" w:type="dxa"/>
            <w:tcBorders/>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5" w:type="dxa"/>
            <w:tcBorders/>
          </w:tcPr>
          <w:p>
            <w:pPr>
              <w:pStyle w:val="TableContents"/>
              <w:bidi w:val="0"/>
              <w:spacing w:before="0" w:after="283"/>
              <w:jc w:val="left"/>
              <w:rPr>
                <w:sz w:val="4"/>
                <w:szCs w:val="4"/>
              </w:rPr>
            </w:pPr>
            <w:r>
              <w:rPr>
                <w:sz w:val="4"/>
                <w:szCs w:val="4"/>
              </w:rPr>
            </w:r>
          </w:p>
        </w:tc>
        <w:tc>
          <w:tcPr>
            <w:tcW w:w="969" w:type="dxa"/>
            <w:tcBorders/>
          </w:tcPr>
          <w:p>
            <w:pPr>
              <w:pStyle w:val="TableContents"/>
              <w:bidi w:val="0"/>
              <w:spacing w:before="0" w:after="283"/>
              <w:jc w:val="left"/>
              <w:rPr>
                <w:sz w:val="4"/>
                <w:szCs w:val="4"/>
              </w:rPr>
            </w:pPr>
            <w:r>
              <w:rPr>
                <w:sz w:val="4"/>
                <w:szCs w:val="4"/>
              </w:rPr>
            </w:r>
          </w:p>
        </w:tc>
        <w:tc>
          <w:tcPr>
            <w:tcW w:w="431" w:type="dxa"/>
            <w:tcBorders/>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8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59" w:type="dxa"/>
            <w:tcBorders/>
          </w:tcPr>
          <w:p>
            <w:pPr>
              <w:pStyle w:val="TableContents"/>
              <w:bidi w:val="0"/>
              <w:spacing w:before="0" w:after="283"/>
              <w:jc w:val="left"/>
              <w:rPr>
                <w:sz w:val="4"/>
                <w:szCs w:val="4"/>
              </w:rPr>
            </w:pPr>
            <w:r>
              <w:rPr>
                <w:sz w:val="4"/>
                <w:szCs w:val="4"/>
              </w:rPr>
            </w:r>
          </w:p>
        </w:tc>
        <w:tc>
          <w:tcPr>
            <w:tcW w:w="886" w:type="dxa"/>
            <w:tcBorders/>
          </w:tcPr>
          <w:p>
            <w:pPr>
              <w:pStyle w:val="TableContents"/>
              <w:bidi w:val="0"/>
              <w:spacing w:before="0" w:after="283"/>
              <w:jc w:val="left"/>
              <w:rPr>
                <w:sz w:val="4"/>
                <w:szCs w:val="4"/>
              </w:rPr>
            </w:pPr>
            <w:r>
              <w:rPr>
                <w:sz w:val="4"/>
                <w:szCs w:val="4"/>
              </w:rPr>
            </w:r>
          </w:p>
        </w:tc>
        <w:tc>
          <w:tcPr>
            <w:tcW w:w="267" w:type="dxa"/>
            <w:tcBorders/>
          </w:tcPr>
          <w:p>
            <w:pPr>
              <w:pStyle w:val="TableContents"/>
              <w:bidi w:val="0"/>
              <w:spacing w:before="0" w:after="283"/>
              <w:jc w:val="left"/>
              <w:rPr>
                <w:sz w:val="4"/>
                <w:szCs w:val="4"/>
              </w:rPr>
            </w:pPr>
            <w:r>
              <w:rPr>
                <w:sz w:val="4"/>
                <w:szCs w:val="4"/>
              </w:rPr>
            </w:r>
          </w:p>
        </w:tc>
      </w:tr>
      <w:tr>
        <w:trPr/>
        <w:tc>
          <w:tcPr>
            <w:tcW w:w="43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 (Loss)</w:t>
            </w:r>
          </w:p>
          <w:p>
            <w:pPr>
              <w:pStyle w:val="TableContents"/>
              <w:bidi w:val="0"/>
              <w:spacing w:before="0" w:after="20"/>
              <w:jc w:val="left"/>
              <w:rPr>
                <w:rFonts w:ascii="Times New Roman" w:hAnsi="Times New Roman"/>
                <w:b/>
                <w:sz w:val="16"/>
              </w:rPr>
            </w:pPr>
            <w:r>
              <w:rPr>
                <w:rFonts w:ascii="Times New Roman" w:hAnsi="Times New Roman"/>
                <w:b/>
                <w:sz w:val="16"/>
              </w:rPr>
              <w:t>(In EUR000s, except per share data)</w:t>
            </w:r>
          </w:p>
        </w:tc>
        <w:tc>
          <w:tcPr>
            <w:tcW w:w="288" w:type="dxa"/>
            <w:tcBorders/>
            <w:vAlign w:val="bottom"/>
          </w:tcPr>
          <w:p>
            <w:pPr>
              <w:pStyle w:val="TableContents"/>
              <w:bidi w:val="0"/>
              <w:spacing w:before="0" w:after="283"/>
              <w:jc w:val="left"/>
              <w:rPr/>
            </w:pPr>
            <w:r>
              <w:rPr/>
              <w:t>  </w:t>
            </w:r>
          </w:p>
        </w:tc>
        <w:tc>
          <w:tcPr>
            <w:tcW w:w="23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67" w:type="dxa"/>
            <w:tcBorders/>
            <w:vAlign w:val="bottom"/>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Profit or (Loss)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sz w:val="4"/>
                <w:szCs w:val="4"/>
              </w:rPr>
            </w:pPr>
            <w:r>
              <w:rPr>
                <w:sz w:val="4"/>
                <w:szCs w:val="4"/>
              </w:rPr>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158,045</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35,998</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258,998</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131,892</w:t>
            </w:r>
          </w:p>
        </w:tc>
        <w:tc>
          <w:tcPr>
            <w:tcW w:w="267" w:type="dxa"/>
            <w:tcBorders/>
            <w:vAlign w:val="bottom"/>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31,447</w:t>
            </w:r>
          </w:p>
        </w:tc>
        <w:tc>
          <w:tcPr>
            <w:tcW w:w="17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11,465</w:t>
            </w:r>
          </w:p>
        </w:tc>
        <w:tc>
          <w:tcPr>
            <w:tcW w:w="431"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48,963</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19,034</w:t>
            </w:r>
          </w:p>
        </w:tc>
        <w:tc>
          <w:tcPr>
            <w:tcW w:w="267" w:type="dxa"/>
            <w:tcBorders/>
            <w:shd w:fill="CCEEFF" w:val="clear"/>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126,598</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24,533</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210,035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112,858</w:t>
            </w:r>
          </w:p>
        </w:tc>
        <w:tc>
          <w:tcPr>
            <w:tcW w:w="267" w:type="dxa"/>
            <w:tcBorders/>
            <w:vAlign w:val="bottom"/>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71,988</w:t>
            </w:r>
          </w:p>
        </w:tc>
        <w:tc>
          <w:tcPr>
            <w:tcW w:w="17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83,478</w:t>
            </w:r>
          </w:p>
        </w:tc>
        <w:tc>
          <w:tcPr>
            <w:tcW w:w="431"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158,591</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154,165</w:t>
            </w:r>
          </w:p>
        </w:tc>
        <w:tc>
          <w:tcPr>
            <w:tcW w:w="267" w:type="dxa"/>
            <w:tcBorders/>
            <w:shd w:fill="CCEEFF" w:val="clear"/>
            <w:vAlign w:val="bottom"/>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107,561</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74,312</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208,608</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141,095</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profit/(loss)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(52,951</w:t>
            </w:r>
          </w:p>
        </w:tc>
        <w:tc>
          <w:tcPr>
            <w:tcW w:w="170" w:type="dxa"/>
            <w:tcBorders/>
            <w:shd w:fill="CCEEFF" w:val="clear"/>
            <w:vAlign w:val="bottom"/>
          </w:tcPr>
          <w:p>
            <w:pPr>
              <w:pStyle w:val="TableContents"/>
              <w:bidi w:val="0"/>
              <w:spacing w:before="0" w:after="283"/>
              <w:jc w:val="left"/>
              <w:rPr>
                <w:b/>
              </w:rPr>
            </w:pPr>
            <w:r>
              <w:rPr>
                <w:b/>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(133,257</w:t>
            </w:r>
          </w:p>
        </w:tc>
        <w:tc>
          <w:tcPr>
            <w:tcW w:w="431"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(157,164</w:t>
            </w:r>
          </w:p>
        </w:tc>
        <w:tc>
          <w:tcPr>
            <w:tcW w:w="155"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(182,402</w:t>
            </w:r>
          </w:p>
        </w:tc>
        <w:tc>
          <w:tcPr>
            <w:tcW w:w="267" w:type="dxa"/>
            <w:tcBorders/>
            <w:shd w:fill="CCEEFF" w:val="clear"/>
            <w:vAlign w:val="bottom"/>
          </w:tcPr>
          <w:p>
            <w:pPr>
              <w:pStyle w:val="TableContents"/>
              <w:bidi w:val="0"/>
              <w:spacing w:before="0" w:after="283"/>
              <w:jc w:val="left"/>
              <w:rPr>
                <w:b/>
              </w:rPr>
            </w:pPr>
            <w:r>
              <w:rPr>
                <w:b/>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Share of profit/(loss) of associates</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(4,097</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(5,322</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22,482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(11,118</w:t>
            </w:r>
          </w:p>
        </w:tc>
        <w:tc>
          <w:tcPr>
            <w:tcW w:w="267" w:type="dxa"/>
            <w:tcBorders/>
            <w:vAlign w:val="bottom"/>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55,059</w:t>
            </w:r>
          </w:p>
        </w:tc>
        <w:tc>
          <w:tcPr>
            <w:tcW w:w="17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49,052</w:t>
            </w:r>
          </w:p>
        </w:tc>
        <w:tc>
          <w:tcPr>
            <w:tcW w:w="431"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83,912</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14,395</w:t>
            </w:r>
          </w:p>
        </w:tc>
        <w:tc>
          <w:tcPr>
            <w:tcW w:w="267" w:type="dxa"/>
            <w:tcBorders/>
            <w:shd w:fill="CCEEFF" w:val="clear"/>
            <w:vAlign w:val="bottom"/>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expenses</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33,018</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19,624</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77,803</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58,553</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Profit/(loss) before tax</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(35,007</w:t>
            </w:r>
          </w:p>
        </w:tc>
        <w:tc>
          <w:tcPr>
            <w:tcW w:w="170" w:type="dxa"/>
            <w:tcBorders/>
            <w:shd w:fill="CCEEFF" w:val="clear"/>
            <w:vAlign w:val="bottom"/>
          </w:tcPr>
          <w:p>
            <w:pPr>
              <w:pStyle w:val="TableContents"/>
              <w:bidi w:val="0"/>
              <w:spacing w:before="0" w:after="283"/>
              <w:jc w:val="left"/>
              <w:rPr>
                <w:b/>
              </w:rPr>
            </w:pPr>
            <w:r>
              <w:rPr>
                <w:b/>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(109,151</w:t>
            </w:r>
          </w:p>
        </w:tc>
        <w:tc>
          <w:tcPr>
            <w:tcW w:w="431"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(128,573</w:t>
            </w:r>
          </w:p>
        </w:tc>
        <w:tc>
          <w:tcPr>
            <w:tcW w:w="155"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(237,678</w:t>
            </w:r>
          </w:p>
        </w:tc>
        <w:tc>
          <w:tcPr>
            <w:tcW w:w="267" w:type="dxa"/>
            <w:tcBorders/>
            <w:shd w:fill="CCEEFF" w:val="clear"/>
            <w:vAlign w:val="bottom"/>
          </w:tcPr>
          <w:p>
            <w:pPr>
              <w:pStyle w:val="TableContents"/>
              <w:bidi w:val="0"/>
              <w:spacing w:before="0" w:after="283"/>
              <w:jc w:val="left"/>
              <w:rPr>
                <w:b/>
              </w:rPr>
            </w:pPr>
            <w:r>
              <w:rPr>
                <w:b/>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(expenses)</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(3,848</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(229</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(4,909</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(2,737</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(38,855</w:t>
            </w:r>
          </w:p>
        </w:tc>
        <w:tc>
          <w:tcPr>
            <w:tcW w:w="170" w:type="dxa"/>
            <w:tcBorders/>
            <w:shd w:fill="CCEEFF" w:val="clear"/>
            <w:vAlign w:val="bottom"/>
          </w:tcPr>
          <w:p>
            <w:pPr>
              <w:pStyle w:val="TableContents"/>
              <w:bidi w:val="0"/>
              <w:spacing w:before="0" w:after="283"/>
              <w:jc w:val="left"/>
              <w:rPr>
                <w:b/>
              </w:rPr>
            </w:pPr>
            <w:r>
              <w:rPr>
                <w:b/>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(109,380</w:t>
            </w:r>
          </w:p>
        </w:tc>
        <w:tc>
          <w:tcPr>
            <w:tcW w:w="431"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(133,482</w:t>
            </w:r>
          </w:p>
        </w:tc>
        <w:tc>
          <w:tcPr>
            <w:tcW w:w="155"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(240,415</w:t>
            </w:r>
          </w:p>
        </w:tc>
        <w:tc>
          <w:tcPr>
            <w:tcW w:w="267" w:type="dxa"/>
            <w:tcBorders/>
            <w:shd w:fill="CCEEFF" w:val="clear"/>
            <w:vAlign w:val="bottom"/>
          </w:tcPr>
          <w:p>
            <w:pPr>
              <w:pStyle w:val="TableContents"/>
              <w:bidi w:val="0"/>
              <w:spacing w:before="0" w:after="283"/>
              <w:jc w:val="left"/>
              <w:rPr>
                <w:b/>
              </w:rPr>
            </w:pPr>
            <w:r>
              <w:rPr>
                <w:b/>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Attributable to owners of the Company</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(38,855</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(109,380</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(133,482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(240,415</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earnings/(loss) per share</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(0.64</w:t>
            </w:r>
          </w:p>
        </w:tc>
        <w:tc>
          <w:tcPr>
            <w:tcW w:w="17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(1.91</w:t>
            </w:r>
          </w:p>
        </w:tc>
        <w:tc>
          <w:tcPr>
            <w:tcW w:w="431"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(4.21</w:t>
            </w:r>
          </w:p>
        </w:tc>
        <w:tc>
          <w:tcPr>
            <w:tcW w:w="267" w:type="dxa"/>
            <w:tcBorders/>
            <w:shd w:fill="CCEEFF" w:val="clear"/>
            <w:vAlign w:val="bottom"/>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earnings/(loss) per share</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(0.82</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(2.21</w:t>
            </w:r>
          </w:p>
        </w:tc>
        <w:tc>
          <w:tcPr>
            <w:tcW w:w="431" w:type="dxa"/>
            <w:tcBorders/>
            <w:vAlign w:val="bottom"/>
          </w:tcPr>
          <w:p>
            <w:pPr>
              <w:pStyle w:val="TableContents"/>
              <w:bidi w:val="0"/>
              <w:spacing w:before="0" w:after="283"/>
              <w:jc w:val="left"/>
              <w:rPr/>
            </w:pPr>
            <w:r>
              <w:rPr/>
              <w:t>)(1)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(2.22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w:t>
            </w:r>
          </w:p>
        </w:tc>
        <w:tc>
          <w:tcPr>
            <w:tcW w:w="886" w:type="dxa"/>
            <w:tcBorders/>
            <w:vAlign w:val="bottom"/>
          </w:tcPr>
          <w:p>
            <w:pPr>
              <w:pStyle w:val="TableContents"/>
              <w:bidi w:val="0"/>
              <w:spacing w:before="0" w:after="283"/>
              <w:jc w:val="right"/>
              <w:rPr/>
            </w:pPr>
            <w:r>
              <w:rPr/>
              <w:t>(4.21</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rHeight w:val="240" w:hRule="atLeast"/>
        </w:trPr>
        <w:tc>
          <w:tcPr>
            <w:tcW w:w="10205" w:type="dxa"/>
            <w:gridSpan w:val="17"/>
            <w:tcBorders/>
            <w:vAlign w:val="center"/>
          </w:tcPr>
          <w:p>
            <w:pPr>
              <w:pStyle w:val="TableContents"/>
              <w:bidi w:val="0"/>
              <w:spacing w:before="0" w:after="283"/>
              <w:jc w:val="left"/>
              <w:rPr>
                <w:sz w:val="4"/>
                <w:szCs w:val="4"/>
              </w:rPr>
            </w:pPr>
            <w:r>
              <w:rPr>
                <w:sz w:val="4"/>
                <w:szCs w:val="4"/>
              </w:rPr>
            </w:r>
          </w:p>
        </w:tc>
      </w:tr>
      <w:tr>
        <w:trPr/>
        <w:tc>
          <w:tcPr>
            <w:tcW w:w="9938" w:type="dxa"/>
            <w:gridSpan w:val="16"/>
            <w:tcBorders/>
          </w:tcPr>
          <w:p>
            <w:pPr>
              <w:pStyle w:val="TableContents"/>
              <w:bidi w:val="0"/>
              <w:spacing w:before="0" w:after="0"/>
              <w:jc w:val="left"/>
              <w:rPr>
                <w:rFonts w:ascii="Times New Roman" w:hAnsi="Times New Roman"/>
                <w:sz w:val="20"/>
              </w:rPr>
            </w:pPr>
            <w:r>
              <w:rPr>
                <w:rFonts w:ascii="Times New Roman" w:hAnsi="Times New Roman"/>
                <w:sz w:val="20"/>
              </w:rPr>
              <w:t>(1)  Dilutive earnings per share for the three months ended June 30, 2024, has been restated. Refer to Note 6, Earnings Per Share for further information.</w:t>
            </w:r>
          </w:p>
        </w:tc>
        <w:tc>
          <w:tcPr>
            <w:tcW w:w="267" w:type="dxa"/>
            <w:tcBorders/>
          </w:tcPr>
          <w:p>
            <w:pPr>
              <w:pStyle w:val="TableContents"/>
              <w:bidi w:val="0"/>
              <w:spacing w:before="0" w:after="0"/>
              <w:jc w:val="left"/>
              <w:rPr/>
            </w:pPr>
            <w:r>
              <w:rPr/>
              <w:t>   </w:t>
            </w:r>
          </w:p>
        </w:tc>
      </w:tr>
      <w:tr>
        <w:trPr>
          <w:trHeight w:val="240" w:hRule="atLeast"/>
        </w:trPr>
        <w:tc>
          <w:tcPr>
            <w:tcW w:w="4311" w:type="dxa"/>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c>
          <w:tcPr>
            <w:tcW w:w="1703" w:type="dxa"/>
            <w:gridSpan w:val="4"/>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Comprehensive Income or (Loss)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sz w:val="4"/>
                <w:szCs w:val="4"/>
              </w:rPr>
            </w:pPr>
            <w:r>
              <w:rPr>
                <w:sz w:val="4"/>
                <w:szCs w:val="4"/>
              </w:rPr>
            </w:r>
          </w:p>
        </w:tc>
      </w:tr>
      <w:tr>
        <w:trPr/>
        <w:tc>
          <w:tcPr>
            <w:tcW w:w="4311" w:type="dxa"/>
            <w:tcBorders/>
          </w:tcPr>
          <w:p>
            <w:pPr>
              <w:pStyle w:val="TableContents"/>
              <w:bidi w:val="0"/>
              <w:spacing w:before="0" w:after="0"/>
              <w:jc w:val="left"/>
              <w:rPr>
                <w:rFonts w:ascii="Times New Roman" w:hAnsi="Times New Roman"/>
                <w:b/>
                <w:sz w:val="20"/>
              </w:rPr>
            </w:pPr>
            <w:r>
              <w:rPr>
                <w:rFonts w:ascii="Times New Roman" w:hAnsi="Times New Roman"/>
                <w:b/>
                <w:sz w:val="20"/>
              </w:rPr>
              <w:t>Net profit/(loss) for the period</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(38,855</w:t>
            </w:r>
          </w:p>
        </w:tc>
        <w:tc>
          <w:tcPr>
            <w:tcW w:w="170" w:type="dxa"/>
            <w:tcBorders/>
            <w:vAlign w:val="bottom"/>
          </w:tcPr>
          <w:p>
            <w:pPr>
              <w:pStyle w:val="TableContents"/>
              <w:bidi w:val="0"/>
              <w:spacing w:before="0" w:after="283"/>
              <w:jc w:val="left"/>
              <w:rPr>
                <w:b/>
              </w:rPr>
            </w:pPr>
            <w:r>
              <w:rPr>
                <w:b/>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(109,380</w:t>
            </w:r>
          </w:p>
        </w:tc>
        <w:tc>
          <w:tcPr>
            <w:tcW w:w="431" w:type="dxa"/>
            <w:tcBorders/>
            <w:vAlign w:val="bottom"/>
          </w:tcPr>
          <w:p>
            <w:pPr>
              <w:pStyle w:val="TableContents"/>
              <w:bidi w:val="0"/>
              <w:spacing w:before="0" w:after="283"/>
              <w:jc w:val="left"/>
              <w:rPr>
                <w:b/>
              </w:rPr>
            </w:pPr>
            <w:r>
              <w:rPr>
                <w:b/>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(133,482</w:t>
            </w:r>
          </w:p>
        </w:tc>
        <w:tc>
          <w:tcPr>
            <w:tcW w:w="155" w:type="dxa"/>
            <w:tcBorders/>
            <w:vAlign w:val="bottom"/>
          </w:tcPr>
          <w:p>
            <w:pPr>
              <w:pStyle w:val="TableContents"/>
              <w:bidi w:val="0"/>
              <w:spacing w:before="0" w:after="283"/>
              <w:jc w:val="left"/>
              <w:rPr>
                <w:b/>
              </w:rPr>
            </w:pPr>
            <w:r>
              <w:rPr>
                <w:b/>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(240,415</w:t>
            </w:r>
          </w:p>
        </w:tc>
        <w:tc>
          <w:tcPr>
            <w:tcW w:w="267" w:type="dxa"/>
            <w:tcBorders/>
            <w:vAlign w:val="bottom"/>
          </w:tcPr>
          <w:p>
            <w:pPr>
              <w:pStyle w:val="TableContents"/>
              <w:bidi w:val="0"/>
              <w:spacing w:before="0" w:after="283"/>
              <w:jc w:val="left"/>
              <w:rPr>
                <w:b/>
              </w:rPr>
            </w:pPr>
            <w:r>
              <w:rPr>
                <w:b/>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income/(loss)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431"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67" w:type="dxa"/>
            <w:tcBorders/>
            <w:shd w:fill="CCEEFF" w:val="clear"/>
            <w:vAlign w:val="bottom"/>
          </w:tcPr>
          <w:p>
            <w:pPr>
              <w:pStyle w:val="TableContents"/>
              <w:bidi w:val="0"/>
              <w:spacing w:before="0" w:after="283"/>
              <w:jc w:val="left"/>
              <w:rPr>
                <w:sz w:val="4"/>
                <w:szCs w:val="4"/>
              </w:rPr>
            </w:pPr>
            <w:r>
              <w:rPr>
                <w:sz w:val="4"/>
                <w:szCs w:val="4"/>
              </w:rPr>
            </w:r>
          </w:p>
        </w:tc>
      </w:tr>
      <w:tr>
        <w:trPr/>
        <w:tc>
          <w:tcPr>
            <w:tcW w:w="4311" w:type="dxa"/>
            <w:tcBorders/>
          </w:tcPr>
          <w:p>
            <w:pPr>
              <w:pStyle w:val="TableContents"/>
              <w:bidi w:val="0"/>
              <w:spacing w:before="0" w:after="0"/>
              <w:jc w:val="left"/>
              <w:rPr>
                <w:rFonts w:ascii="Times New Roman" w:hAnsi="Times New Roman"/>
                <w:i/>
                <w:sz w:val="20"/>
              </w:rPr>
            </w:pPr>
            <w:r>
              <w:rPr>
                <w:rFonts w:ascii="Times New Roman" w:hAnsi="Times New Roman"/>
                <w:i/>
                <w:sz w:val="20"/>
              </w:rPr>
              <w:t>Items that may be reclassified subsequently to profit or (loss):</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r>
      <w:tr>
        <w:trPr/>
        <w:tc>
          <w:tcPr>
            <w:tcW w:w="43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translating foreign operations</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(1,399</w:t>
            </w:r>
          </w:p>
        </w:tc>
        <w:tc>
          <w:tcPr>
            <w:tcW w:w="17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15</w:t>
            </w:r>
          </w:p>
        </w:tc>
        <w:tc>
          <w:tcPr>
            <w:tcW w:w="431"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(1,474</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78</w:t>
            </w:r>
          </w:p>
        </w:tc>
        <w:tc>
          <w:tcPr>
            <w:tcW w:w="267" w:type="dxa"/>
            <w:tcBorders/>
            <w:shd w:fill="CCEEFF" w:val="clear"/>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income/(loss) for the period, net of tax</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(1,399</w:t>
            </w:r>
          </w:p>
        </w:tc>
        <w:tc>
          <w:tcPr>
            <w:tcW w:w="170" w:type="dxa"/>
            <w:tcBorders/>
            <w:vAlign w:val="bottom"/>
          </w:tcPr>
          <w:p>
            <w:pPr>
              <w:pStyle w:val="TableContents"/>
              <w:bidi w:val="0"/>
              <w:spacing w:before="0" w:after="283"/>
              <w:jc w:val="left"/>
              <w:rPr>
                <w:b/>
              </w:rPr>
            </w:pPr>
            <w:r>
              <w:rPr>
                <w:b/>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15</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(1,474</w:t>
            </w:r>
          </w:p>
        </w:tc>
        <w:tc>
          <w:tcPr>
            <w:tcW w:w="155" w:type="dxa"/>
            <w:tcBorders/>
            <w:vAlign w:val="bottom"/>
          </w:tcPr>
          <w:p>
            <w:pPr>
              <w:pStyle w:val="TableContents"/>
              <w:bidi w:val="0"/>
              <w:spacing w:before="0" w:after="283"/>
              <w:jc w:val="left"/>
              <w:rPr>
                <w:b/>
              </w:rPr>
            </w:pPr>
            <w:r>
              <w:rPr>
                <w:b/>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78</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income/(loss) for the period, net of tax</w:t>
            </w:r>
          </w:p>
        </w:tc>
        <w:tc>
          <w:tcPr>
            <w:tcW w:w="28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(40,254</w:t>
            </w:r>
          </w:p>
        </w:tc>
        <w:tc>
          <w:tcPr>
            <w:tcW w:w="170" w:type="dxa"/>
            <w:tcBorders/>
            <w:shd w:fill="CCEEFF" w:val="clear"/>
            <w:vAlign w:val="bottom"/>
          </w:tcPr>
          <w:p>
            <w:pPr>
              <w:pStyle w:val="TableContents"/>
              <w:bidi w:val="0"/>
              <w:spacing w:before="0" w:after="283"/>
              <w:jc w:val="left"/>
              <w:rPr>
                <w:b/>
              </w:rPr>
            </w:pPr>
            <w:r>
              <w:rPr>
                <w:b/>
              </w:rPr>
              <w:t>) </w:t>
            </w:r>
          </w:p>
        </w:tc>
        <w:tc>
          <w:tcPr>
            <w:tcW w:w="23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(109,365</w:t>
            </w:r>
          </w:p>
        </w:tc>
        <w:tc>
          <w:tcPr>
            <w:tcW w:w="431"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(134,956</w:t>
            </w:r>
          </w:p>
        </w:tc>
        <w:tc>
          <w:tcPr>
            <w:tcW w:w="155"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(240,337</w:t>
            </w:r>
          </w:p>
        </w:tc>
        <w:tc>
          <w:tcPr>
            <w:tcW w:w="267" w:type="dxa"/>
            <w:tcBorders/>
            <w:shd w:fill="CCEEFF" w:val="clear"/>
            <w:vAlign w:val="bottom"/>
          </w:tcPr>
          <w:p>
            <w:pPr>
              <w:pStyle w:val="TableContents"/>
              <w:bidi w:val="0"/>
              <w:spacing w:before="0" w:after="283"/>
              <w:jc w:val="left"/>
              <w:rPr>
                <w:b/>
              </w:rPr>
            </w:pPr>
            <w:r>
              <w:rPr>
                <w:b/>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r>
        <w:trPr/>
        <w:tc>
          <w:tcPr>
            <w:tcW w:w="4311" w:type="dxa"/>
            <w:tcBorders/>
          </w:tcPr>
          <w:p>
            <w:pPr>
              <w:pStyle w:val="TableContents"/>
              <w:bidi w:val="0"/>
              <w:spacing w:before="0" w:after="0"/>
              <w:jc w:val="left"/>
              <w:rPr>
                <w:rFonts w:ascii="Times New Roman" w:hAnsi="Times New Roman"/>
                <w:sz w:val="20"/>
              </w:rPr>
            </w:pPr>
            <w:r>
              <w:rPr>
                <w:rFonts w:ascii="Times New Roman" w:hAnsi="Times New Roman"/>
                <w:sz w:val="20"/>
              </w:rPr>
              <w:t>Attributable to owners of the Company</w:t>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(40,254</w:t>
            </w:r>
          </w:p>
        </w:tc>
        <w:tc>
          <w:tcPr>
            <w:tcW w:w="17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(109,365</w:t>
            </w:r>
          </w:p>
        </w:tc>
        <w:tc>
          <w:tcPr>
            <w:tcW w:w="431"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(134,956</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(240,337</w:t>
            </w:r>
          </w:p>
        </w:tc>
        <w:tc>
          <w:tcPr>
            <w:tcW w:w="267" w:type="dxa"/>
            <w:tcBorders/>
            <w:vAlign w:val="bottom"/>
          </w:tcPr>
          <w:p>
            <w:pPr>
              <w:pStyle w:val="TableContents"/>
              <w:bidi w:val="0"/>
              <w:spacing w:before="0" w:after="283"/>
              <w:jc w:val="left"/>
              <w:rPr/>
            </w:pPr>
            <w:r>
              <w:rPr/>
              <w:t>) </w:t>
            </w:r>
          </w:p>
        </w:tc>
      </w:tr>
      <w:tr>
        <w:trPr/>
        <w:tc>
          <w:tcPr>
            <w:tcW w:w="431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431"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2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7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85800" cy="228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 cy="2286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0"/>
        <w:gridCol w:w="151"/>
        <w:gridCol w:w="60"/>
        <w:gridCol w:w="996"/>
        <w:gridCol w:w="155"/>
        <w:gridCol w:w="113"/>
        <w:gridCol w:w="81"/>
        <w:gridCol w:w="1370"/>
        <w:gridCol w:w="159"/>
      </w:tblGrid>
      <w:tr>
        <w:trPr/>
        <w:tc>
          <w:tcPr>
            <w:tcW w:w="712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20" w:type="dxa"/>
            <w:tcBorders/>
            <w:vAlign w:val="bottom"/>
          </w:tcPr>
          <w:p>
            <w:pPr>
              <w:pStyle w:val="TableContents"/>
              <w:bidi w:val="0"/>
              <w:spacing w:before="0" w:after="283"/>
              <w:jc w:val="left"/>
              <w:rPr>
                <w:b/>
              </w:rPr>
            </w:pPr>
            <w:r>
              <w:rPr>
                <w:b/>
              </w:rPr>
              <w:t>Ascendis Pharma A/S</w:t>
            </w:r>
          </w:p>
        </w:tc>
        <w:tc>
          <w:tcPr>
            <w:tcW w:w="151"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b/>
              </w:rPr>
            </w:pPr>
            <w:r>
              <w:rPr>
                <w:b/>
              </w:rPr>
              <w:t>Consolidated Statements of Financial Position</w:t>
            </w:r>
          </w:p>
        </w:tc>
        <w:tc>
          <w:tcPr>
            <w:tcW w:w="151"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120" w:type="dxa"/>
            <w:tcBorders/>
          </w:tcPr>
          <w:p>
            <w:pPr>
              <w:pStyle w:val="TableContents"/>
              <w:bidi w:val="0"/>
              <w:spacing w:before="0" w:after="283"/>
              <w:jc w:val="left"/>
              <w:rPr>
                <w:b/>
              </w:rPr>
            </w:pPr>
            <w:r>
              <w:rPr>
                <w:b/>
              </w:rPr>
              <w:t>(In EUR000s)</w:t>
            </w:r>
          </w:p>
        </w:tc>
        <w:tc>
          <w:tcPr>
            <w:tcW w:w="151"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3,790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4,028</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93,542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98,714</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associates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34,902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13,575</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2,711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2,317</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134,945</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118,634</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303,381</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295,609</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110,452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166,280</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receivables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2,738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1,775</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8,029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9,385</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34,311</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28,269</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494,046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559,543</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952,957</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1,060,861</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1,087,902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b/>
              </w:rPr>
            </w:pPr>
            <w:r>
              <w:rPr>
                <w:b/>
              </w:rPr>
              <w:t>1,179,495</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8,211</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8,149</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Distributable equity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(195,783</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(113,855</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(187,572</w:t>
            </w:r>
          </w:p>
        </w:tc>
        <w:tc>
          <w:tcPr>
            <w:tcW w:w="155"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(105,706</w:t>
            </w:r>
          </w:p>
        </w:tc>
        <w:tc>
          <w:tcPr>
            <w:tcW w:w="159" w:type="dxa"/>
            <w:tcBorders/>
            <w:shd w:fill="CCEEFF" w:val="clear"/>
            <w:vAlign w:val="bottom"/>
          </w:tcPr>
          <w:p>
            <w:pPr>
              <w:pStyle w:val="TableContents"/>
              <w:bidi w:val="0"/>
              <w:spacing w:before="0" w:after="283"/>
              <w:jc w:val="left"/>
              <w:rPr>
                <w:b/>
              </w:rPr>
            </w:pPr>
            <w:r>
              <w:rPr>
                <w:b/>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330,186</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365,080</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692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5,000</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9,596</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7,258</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340,474</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b/>
              </w:rPr>
            </w:pPr>
            <w:r>
              <w:rPr>
                <w:b/>
              </w:rPr>
              <w:t>377,338</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Convertible notes, matures in April 2028</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418,073</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458,207</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186,579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150,670</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604,652</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608,877</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current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44,275</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33,329</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1,789</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936</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and accrued expenses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93,718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96,394</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39,924</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67,956</w:t>
            </w:r>
          </w:p>
        </w:tc>
        <w:tc>
          <w:tcPr>
            <w:tcW w:w="159" w:type="dxa"/>
            <w:tcBorders/>
            <w:vAlign w:val="bottom"/>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1,222</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149,931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99,149</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330,348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298,986</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935,000</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b/>
              </w:rPr>
            </w:pPr>
            <w:r>
              <w:rPr>
                <w:b/>
              </w:rPr>
              <w:t>907,863</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1,275,474</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b/>
              </w:rPr>
            </w:pPr>
            <w:r>
              <w:rPr>
                <w:b/>
              </w:rPr>
              <w:t>1,285,201</w:t>
            </w:r>
          </w:p>
        </w:tc>
        <w:tc>
          <w:tcPr>
            <w:tcW w:w="159" w:type="dxa"/>
            <w:tcBorders/>
            <w:shd w:fill="CCEEFF" w:val="clear"/>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1,087,902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b/>
              </w:rPr>
            </w:pPr>
            <w:r>
              <w:rPr>
                <w:b/>
              </w:rPr>
              <w:t>1,179,495</w:t>
            </w:r>
          </w:p>
        </w:tc>
        <w:tc>
          <w:tcPr>
            <w:tcW w:w="159" w:type="dxa"/>
            <w:tcBorders/>
            <w:vAlign w:val="bottom"/>
          </w:tcPr>
          <w:p>
            <w:pPr>
              <w:pStyle w:val="TableContents"/>
              <w:bidi w:val="0"/>
              <w:spacing w:before="0" w:after="283"/>
              <w:jc w:val="left"/>
              <w:rPr/>
            </w:pPr>
            <w:r>
              <w:rPr/>
              <w:t> </w:t>
            </w:r>
          </w:p>
        </w:tc>
      </w:tr>
      <w:tr>
        <w:trPr/>
        <w:tc>
          <w:tcPr>
            <w:tcW w:w="7120"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2540</Words>
  <Characters>14107</Characters>
  <CharactersWithSpaces>17530</CharactersWithSpaces>
  <Paragraphs>1530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