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60" w:right="10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 the month of November, 2018</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10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22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7"/>
          <w:szCs w:val="17"/>
          <w:color w:val="auto"/>
        </w:rPr>
        <w:t>Exhibits 99.1 and 99.2 of this report on Form 6-K shall be deemed to be incorporated by reference into the registration statements on Form S-8 (Registration Numbers 333-203040, 333-210810, 333-211512, 333-213412, 333-214843 and 333-216883) and Form F-3 (Registration Numbers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Furnished as exhibits to this Report on Form 6-K is information regarding the Company’s financial results for the fiscal quarter ended September 30,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40" w:type="dxa"/>
            <w:vAlign w:val="bottom"/>
          </w:tcPr>
          <w:p>
            <w:pPr>
              <w:spacing w:after="0"/>
              <w:rPr>
                <w:sz w:val="14"/>
                <w:szCs w:val="1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4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Interim Financial Statements.</w:t>
            </w:r>
          </w:p>
        </w:tc>
        <w:tc>
          <w:tcPr>
            <w:tcW w:w="1740" w:type="dxa"/>
            <w:vAlign w:val="bottom"/>
          </w:tcPr>
          <w:p>
            <w:pPr>
              <w:spacing w:after="0"/>
              <w:rPr>
                <w:sz w:val="24"/>
                <w:szCs w:val="24"/>
                <w:color w:val="auto"/>
              </w:rPr>
            </w:pPr>
          </w:p>
        </w:tc>
      </w:tr>
      <w:tr>
        <w:trPr>
          <w:trHeight w:val="30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spacing w:after="0"/>
              <w:rPr>
                <w:sz w:val="24"/>
                <w:szCs w:val="24"/>
                <w:color w:val="auto"/>
              </w:rPr>
            </w:pPr>
          </w:p>
        </w:tc>
        <w:tc>
          <w:tcPr>
            <w:tcW w:w="6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r>
      <w:tr>
        <w:trPr>
          <w:trHeight w:val="30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tcPr>
          <w:p>
            <w:pPr>
              <w:spacing w:after="0"/>
              <w:rPr>
                <w:sz w:val="24"/>
                <w:szCs w:val="24"/>
                <w:color w:val="auto"/>
              </w:rPr>
            </w:pP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November 28, 2018.</w:t>
            </w:r>
          </w:p>
        </w:tc>
        <w:tc>
          <w:tcPr>
            <w:tcW w:w="3560" w:type="dxa"/>
            <w:vAlign w:val="bottom"/>
            <w:gridSpan w:val="2"/>
          </w:tcPr>
          <w:p>
            <w:pPr>
              <w:spacing w:after="0"/>
              <w:rPr>
                <w:sz w:val="24"/>
                <w:szCs w:val="24"/>
                <w:color w:val="auto"/>
              </w:rPr>
            </w:pPr>
          </w:p>
        </w:tc>
      </w:tr>
      <w:tr>
        <w:trPr>
          <w:trHeight w:val="34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101.IAB</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ectPr>
          <w:pgSz w:w="11900" w:h="16838" w:orient="portrait"/>
          <w:cols w:equalWidth="0" w:num="1">
            <w:col w:w="10940"/>
          </w:cols>
          <w:pgMar w:left="440" w:top="266" w:right="51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582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Ascendis Pharma A/S</w:t>
            </w:r>
          </w:p>
        </w:tc>
      </w:tr>
      <w:tr>
        <w:trPr>
          <w:trHeight w:val="39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28, 2018</w:t>
            </w:r>
          </w:p>
        </w:tc>
        <w:tc>
          <w:tcPr>
            <w:tcW w:w="582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Michael Wolff Jensen</w:t>
            </w:r>
          </w:p>
        </w:tc>
      </w:tr>
      <w:tr>
        <w:trPr>
          <w:trHeight w:val="20"/>
        </w:trPr>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3580" w:type="dxa"/>
            <w:vAlign w:val="bottom"/>
          </w:tcPr>
          <w:p>
            <w:pPr>
              <w:spacing w:after="0"/>
              <w:rPr>
                <w:sz w:val="18"/>
                <w:szCs w:val="18"/>
                <w:color w:val="auto"/>
              </w:rPr>
            </w:pPr>
          </w:p>
        </w:tc>
        <w:tc>
          <w:tcPr>
            <w:tcW w:w="582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Michael Wolff Jensen</w:t>
            </w:r>
          </w:p>
        </w:tc>
      </w:tr>
      <w:tr>
        <w:trPr>
          <w:trHeight w:val="234"/>
        </w:trPr>
        <w:tc>
          <w:tcPr>
            <w:tcW w:w="3580" w:type="dxa"/>
            <w:vAlign w:val="bottom"/>
          </w:tcPr>
          <w:p>
            <w:pPr>
              <w:spacing w:after="0"/>
              <w:rPr>
                <w:sz w:val="20"/>
                <w:szCs w:val="20"/>
                <w:color w:val="auto"/>
              </w:rPr>
            </w:pPr>
          </w:p>
        </w:tc>
        <w:tc>
          <w:tcPr>
            <w:tcW w:w="582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w w:val="99"/>
              </w:rPr>
              <w:t>Chairman and Senior Vice President, General Counsel</w:t>
            </w:r>
          </w:p>
        </w:tc>
      </w:tr>
    </w:tbl>
    <w:p>
      <w:pPr>
        <w:sectPr>
          <w:pgSz w:w="11900" w:h="16838" w:orient="portrait"/>
          <w:cols w:equalWidth="0" w:num="1">
            <w:col w:w="10680"/>
          </w:cols>
          <w:pgMar w:left="440" w:top="266" w:right="7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20" w:type="dxa"/>
            <w:vAlign w:val="bottom"/>
            <w:gridSpan w:val="6"/>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ASCENDIS PHARMA A/S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988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INDEX TO UNAUDITED CONDENSED CONSOLIDATED INTERIM FINANCIAL STATEMENTS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40" w:type="dxa"/>
            <w:vAlign w:val="bottom"/>
            <w:gridSpan w:val="7"/>
            <w:vMerge w:val="restart"/>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Consolidated Interim Statements of Profit or Loss and Other Comprehensive Income / (Loss) for the Three and Nine</w:t>
              </w:r>
            </w:hyperlink>
          </w:p>
        </w:tc>
        <w:tc>
          <w:tcPr>
            <w:tcW w:w="2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040" w:type="dxa"/>
            <w:vAlign w:val="bottom"/>
            <w:tcBorders>
              <w:bottom w:val="single" w:sz="8" w:color="0000EE"/>
            </w:tcBorders>
            <w:gridSpan w:val="7"/>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Months Ended September 30, 2018 and 2017</w:t>
              </w:r>
            </w:hyperlink>
          </w:p>
        </w:tc>
        <w:tc>
          <w:tcPr>
            <w:tcW w:w="662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9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Consolidated Interim Statements of Financial Position as of September 30, 2018 and December 31, 2017</w:t>
              </w:r>
            </w:hyperlink>
          </w:p>
        </w:tc>
        <w:tc>
          <w:tcPr>
            <w:tcW w:w="8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10060" w:type="dxa"/>
            <w:vAlign w:val="bottom"/>
            <w:gridSpan w:val="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Interim Statements of Changes in Equity at September 30, 2018 and 2017</w:t>
              </w:r>
            </w:hyperlink>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5640" w:type="dxa"/>
            <w:vAlign w:val="bottom"/>
            <w:gridSpan w:val="3"/>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Condensed Consolidated Interim Cash Flow Statements for the Nine Months Ended September 30, 2018 and 2017</w:t>
              </w:r>
            </w:hyperlink>
          </w:p>
        </w:tc>
        <w:tc>
          <w:tcPr>
            <w:tcW w:w="102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the Unaudited Condensed Consolidated Interim Financial Statements</w:t>
              </w:r>
            </w:hyperlink>
          </w:p>
        </w:tc>
        <w:tc>
          <w:tcPr>
            <w:tcW w:w="44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bl>
    <w:p>
      <w:pPr>
        <w:sectPr>
          <w:pgSz w:w="11900" w:h="16838" w:orient="portrait"/>
          <w:cols w:equalWidth="0" w:num="1">
            <w:col w:w="11220"/>
          </w:cols>
          <w:pgMar w:left="240" w:top="118"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Profit or Loss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and Other Comprehensive Income / (Loss) for the Three and Nine Months Ended September 30</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340" w:type="dxa"/>
            <w:vAlign w:val="bottom"/>
            <w:gridSpan w:val="4"/>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160" w:type="dxa"/>
            <w:vAlign w:val="bottom"/>
            <w:gridSpan w:val="4"/>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300" w:type="dxa"/>
            <w:vAlign w:val="bottom"/>
          </w:tcPr>
          <w:p>
            <w:pPr>
              <w:spacing w:after="0"/>
              <w:rPr>
                <w:sz w:val="12"/>
                <w:szCs w:val="12"/>
                <w:color w:val="auto"/>
              </w:rPr>
            </w:pPr>
          </w:p>
        </w:tc>
        <w:tc>
          <w:tcPr>
            <w:tcW w:w="20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8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(31,511)</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(29,067)</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(102,286)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(6,796)</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(2,840)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(16,684)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(9,396)</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(38,287)</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(31,473)</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(118,904)</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8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(2,809)</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(34,067)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(34,117)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(98,425)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Tax on profit / (loss) for the period</w:t>
            </w:r>
          </w:p>
        </w:tc>
        <w:tc>
          <w:tcPr>
            <w:tcW w:w="8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 for the period</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(33,967)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(33,877)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(98,119)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(89,722)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subsequently to profit or loss:</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8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period, net of tax</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 for the period, net of tax</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(33,976)</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(33,882)</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(98,135)</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for the period attributable to owners of the Company</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(33,967)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(33,877)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(98,119)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(89,722)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 income / (loss) for the period attributable to owners of</w:t>
            </w:r>
          </w:p>
        </w:tc>
        <w:tc>
          <w:tcPr>
            <w:tcW w:w="86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(33,976)</w:t>
            </w: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(33,882)</w:t>
            </w: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(98,135)</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(89,681)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w:t>
            </w:r>
          </w:p>
        </w:tc>
        <w:tc>
          <w:tcPr>
            <w:tcW w:w="8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EUR</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EUR</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 (loss) per share</w:t>
            </w:r>
          </w:p>
        </w:tc>
        <w:tc>
          <w:tcPr>
            <w:tcW w:w="8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Number of shares used for calculation (basic and diluted) </w:t>
            </w:r>
            <w:r>
              <w:rPr>
                <w:rFonts w:ascii="Times New Roman" w:cs="Times New Roman" w:eastAsia="Times New Roman" w:hAnsi="Times New Roman"/>
                <w:sz w:val="15"/>
                <w:szCs w:val="15"/>
                <w:color w:val="auto"/>
              </w:rPr>
              <w:t>(1)</w:t>
            </w:r>
          </w:p>
        </w:tc>
        <w:tc>
          <w:tcPr>
            <w:tcW w:w="8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41,888,908</w:t>
            </w:r>
          </w:p>
        </w:tc>
        <w:tc>
          <w:tcPr>
            <w:tcW w:w="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32,607,497</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40,757,686</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right="440" w:hanging="436"/>
        <w:spacing w:after="0" w:line="261" w:lineRule="auto"/>
        <w:tabs>
          <w:tab w:leader="none" w:pos="6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total of 4,480,805 warrants outstanding as of September 30, 2018 can potentially dilute earnings per share in the future, but have not been included in the calculation of diluted earnings per share because they are antidilutive for the periods presented. Similarly, a total of 3,698,895 warrants outstanding as of September 30, 2017 are also considered antidilutive for the periods presented and have not been included in the calculation.</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240" w:top="455"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Financial Position</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400" w:type="dxa"/>
            <w:vAlign w:val="bottom"/>
            <w:gridSpan w:val="2"/>
            <w:vMerge w:val="continue"/>
          </w:tcPr>
          <w:p>
            <w:pPr>
              <w:spacing w:after="0"/>
              <w:rPr>
                <w:sz w:val="15"/>
                <w:szCs w:val="15"/>
                <w:color w:val="auto"/>
              </w:rPr>
            </w:pPr>
          </w:p>
        </w:tc>
        <w:tc>
          <w:tcPr>
            <w:tcW w:w="134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180" w:type="dxa"/>
            <w:vAlign w:val="bottom"/>
            <w:tcBorders>
              <w:top w:val="single" w:sz="8" w:color="auto"/>
            </w:tcBorders>
            <w:gridSpan w:val="3"/>
          </w:tcPr>
          <w:p>
            <w:pPr>
              <w:jc w:val="right"/>
              <w:ind w:right="67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8,249</w:t>
            </w:r>
          </w:p>
        </w:tc>
        <w:tc>
          <w:tcPr>
            <w:tcW w:w="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310,333</w:t>
            </w:r>
          </w:p>
        </w:tc>
        <w:tc>
          <w:tcPr>
            <w:tcW w:w="4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335,234</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equity</w:t>
            </w: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298,560</w:t>
            </w:r>
          </w:p>
        </w:tc>
        <w:tc>
          <w:tcPr>
            <w:tcW w:w="4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304,205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335,234</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0" w:type="dxa"/>
            <w:vAlign w:val="bottom"/>
            <w:gridSpan w:val="2"/>
            <w:vMerge w:val="restart"/>
          </w:tcPr>
          <w:p>
            <w:pPr>
              <w:jc w:val="right"/>
              <w:ind w:right="2700"/>
              <w:spacing w:after="0"/>
              <w:rPr>
                <w:sz w:val="20"/>
                <w:szCs w:val="20"/>
                <w:color w:val="auto"/>
              </w:rPr>
            </w:pPr>
            <w:r>
              <w:rPr>
                <w:rFonts w:ascii="Times New Roman" w:cs="Times New Roman" w:eastAsia="Times New Roman" w:hAnsi="Times New Roman"/>
                <w:sz w:val="18"/>
                <w:szCs w:val="18"/>
                <w:color w:val="auto"/>
              </w:rPr>
              <w:t>F-3</w:t>
            </w: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Changes in Equity</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Distributable Equity</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4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68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400" w:type="dxa"/>
            <w:vAlign w:val="bottom"/>
            <w:gridSpan w:val="3"/>
            <w:vMerge w:val="continue"/>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 December 31, 2017</w:t>
            </w:r>
          </w:p>
        </w:tc>
        <w:tc>
          <w:tcPr>
            <w:tcW w:w="17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w w:val="98"/>
              </w:rPr>
              <w:t>4,967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422,675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22,793</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(263,210)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2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(98,119)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w:t>
            </w:r>
          </w:p>
        </w:tc>
        <w:tc>
          <w:tcPr>
            <w:tcW w:w="124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(98,119)</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(Note 6)</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17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6"/>
              </w:rPr>
              <w:t>678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214,782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capital increase</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(13,118)</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at September 30, 2018</w:t>
            </w:r>
          </w:p>
        </w:tc>
        <w:tc>
          <w:tcPr>
            <w:tcW w:w="1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5,645</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35,580</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(361,329)</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Distributable Equity</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4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68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400" w:type="dxa"/>
            <w:vAlign w:val="bottom"/>
            <w:gridSpan w:val="3"/>
            <w:vMerge w:val="continue"/>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 December 31, 2016</w:t>
            </w:r>
          </w:p>
        </w:tc>
        <w:tc>
          <w:tcPr>
            <w:tcW w:w="17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w w:val="98"/>
              </w:rPr>
              <w:t>4,354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298,567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13,084</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(139,313)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2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(89,722)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w:t>
            </w:r>
          </w:p>
        </w:tc>
        <w:tc>
          <w:tcPr>
            <w:tcW w:w="124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(89,722)</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(Note 6)</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17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6"/>
              </w:rPr>
              <w:t>530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capital increase</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(7,210)</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at September 30, 2017</w:t>
            </w:r>
          </w:p>
        </w:tc>
        <w:tc>
          <w:tcPr>
            <w:tcW w:w="1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4,884</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406,332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20,007</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(229,035)</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F-4</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Cash Flow Statements for the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20" w:type="dxa"/>
            <w:vAlign w:val="bottom"/>
            <w:gridSpan w:val="3"/>
          </w:tcPr>
          <w:p>
            <w:pPr>
              <w:ind w:left="86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Borders>
              <w:top w:val="single" w:sz="8" w:color="auto"/>
            </w:tcBorders>
            <w:gridSpan w:val="3"/>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profit / (loss) for the period</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(98,119)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finance income</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(20,532)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Reversal of finance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tax charge</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payment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Deposits</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Other receivables</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Prepayments</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generated from / (used in) operations</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(105,852)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 paid</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 received / (paid)</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 (used in) operating activities</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(103,240)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(70,942)</w:t>
            </w: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 (used in) investing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capital increase</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(13,118)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(7,210)</w:t>
            </w:r>
          </w:p>
        </w:tc>
        <w:tc>
          <w:tcPr>
            <w:tcW w:w="0" w:type="dxa"/>
            <w:vAlign w:val="bottom"/>
          </w:tcPr>
          <w:p>
            <w:pPr>
              <w:spacing w:after="0"/>
              <w:rPr>
                <w:sz w:val="1"/>
                <w:szCs w:val="1"/>
                <w:color w:val="auto"/>
              </w:rPr>
            </w:pPr>
          </w:p>
        </w:tc>
      </w:tr>
      <w:tr>
        <w:trPr>
          <w:trHeight w:val="230"/>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 (used in)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202,342</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 (decrease) in cash and cash equivalents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97,515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195,351</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balances held in foreign currencies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September 30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310,333</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Restricted cash included in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gridSpan w:val="3"/>
          </w:tcPr>
          <w:p>
            <w:pPr>
              <w:ind w:left="5360"/>
              <w:spacing w:after="0"/>
              <w:rPr>
                <w:sz w:val="20"/>
                <w:szCs w:val="20"/>
                <w:color w:val="auto"/>
              </w:rPr>
            </w:pPr>
            <w:r>
              <w:rPr>
                <w:rFonts w:ascii="Times New Roman" w:cs="Times New Roman" w:eastAsia="Times New Roman" w:hAnsi="Times New Roman"/>
                <w:sz w:val="18"/>
                <w:szCs w:val="18"/>
                <w:color w:val="auto"/>
              </w:rPr>
              <w:t>F-5</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1—General Information</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Ascendis Pharma A/S, together with its subsidiaries, is a biopharmaceutical company applying its innovative TransCon technology to build a leading, fully integrated rare disease company. Ascendis Pharma A/S was incorporated in 2006 and is headquartered in Hellerup, Denmark. Unless the context otherwise requires, references to the “Company,” “we,” “us” and “our” refer to Ascendis Pharma A/S and its subsidiaries.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address of the Company’s registered office is Tuborg Boulevard 12, DK-2900, Hellerup, Denmark.</w:t>
      </w:r>
    </w:p>
    <w:p>
      <w:pPr>
        <w:spacing w:after="0" w:line="225"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Board of Directors approved these unaudited condensed consolidated interim financial statements on November 28, 2018.</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Company are prepared in accordance with International Accounting</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Standard 34, “Interim Financial Reporting”. Certain information and disclosures normally included in the consolidated financial statements prepared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accordance with International Financial Reporting Standards (“IFRS”) have been condensed or omitted. Accordingly, these condensed consolidated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interim financial statements should be read in conjunction with the Company’s annual consolidated financial statements for the year ended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31, 2017 and accompanying notes, which have been prepared in accordance with IFRS as issued by the International Accounting Standards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Board, and as adopted by the European Union.</w:t>
      </w:r>
    </w:p>
    <w:p>
      <w:pPr>
        <w:spacing w:after="0" w:line="207"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condensed consolidated interim financial statements are disclosed in Note 3.</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121" w:lineRule="exact"/>
        <w:rPr>
          <w:sz w:val="20"/>
          <w:szCs w:val="20"/>
          <w:color w:val="auto"/>
        </w:rPr>
      </w:pPr>
    </w:p>
    <w:p>
      <w:pPr>
        <w:ind w:left="200" w:right="20" w:firstLine="441"/>
        <w:spacing w:after="0" w:line="274" w:lineRule="auto"/>
        <w:rPr>
          <w:sz w:val="20"/>
          <w:szCs w:val="20"/>
          <w:color w:val="auto"/>
        </w:rPr>
      </w:pPr>
      <w:r>
        <w:rPr>
          <w:rFonts w:ascii="Times New Roman" w:cs="Times New Roman" w:eastAsia="Times New Roman" w:hAnsi="Times New Roman"/>
          <w:sz w:val="17"/>
          <w:szCs w:val="17"/>
          <w:color w:val="auto"/>
        </w:rPr>
        <w:t>As of January 1, 2018, the Company has adopted IFRS 9, “Financial Instruments”, which introduces a new impairment model for financial assets measured at amortized cost based on an expected credit loss model, which currently applies to the Company’s bank deposits and trade receivables. The adoption of IFRS 9 had no material impact on the Company’s financial reporting. Further, the Company has adopted IFRS 15, “Revenue from Contracts with Customers”, which establishes a single, comprehensive framework for revenue recognition, based on a five-step model, which applies to the Company’s licensing agreements with multiple activities. IFRS 15 was adopted using the ‘retrospective method with the cumulative effect of initially applying this standard recognized at the date of the initial application’. The adoption of IFRS 15 had no impact on the Company’s financial reporting.</w:t>
      </w:r>
    </w:p>
    <w:p>
      <w:pPr>
        <w:spacing w:after="0" w:line="174"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Except for the adoption of these two new standards, the accounting policies applied when preparing these condensed consolidated interim financial statements have been applied consistently to all the periods presented, unless otherwise stated and are consistent with those of the Company’s most recent annual consolidated financial statements. A description of our accounting policies is provided in the Accounting Policies section of the audited consolidated financial statements as of and for the year ended December 31, 2017.</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80"/>
          </w:cols>
          <w:pgMar w:left="240" w:top="455"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440" w:firstLine="2505"/>
        <w:spacing w:after="0" w:line="401" w:lineRule="auto"/>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 Note 3—Critical Accounting Judgments and Key Sources of Estimation Uncertainty</w:t>
      </w:r>
    </w:p>
    <w:p>
      <w:pPr>
        <w:spacing w:after="0" w:line="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7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Critical judgments made in the process of applying our accounting policies and that have the most significant effect on the amounts recognized in our unaudited condensed consolidated financial statements relate to revenue recognition, share-based payment, internally generated intangible assets, and joint arrangements / collaboration agreements.</w:t>
      </w:r>
    </w:p>
    <w:p>
      <w:pPr>
        <w:spacing w:after="0" w:line="176"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key sources of estimation uncertainty that have a significant risk of causing a material adjustment to the carrying amount of assets and liabilities within the next financial year relate to impairment of goodwill and to recognition of accruals for manufacturing and clinical trial activities. There have been no changes to the application of significant accounting estimates, and no impairment losses have been recognized during the first nine months of 2018 or 2017.</w:t>
      </w:r>
    </w:p>
    <w:p>
      <w:pPr>
        <w:spacing w:after="0" w:line="180"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do not include all disclosures for critical accounting estimates and judgments that are required in the annual consolidated financial statements, and should be read in conjunction with the Company’s annual consolidated financial statements for the year ended December 31, 2017.</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4—Revenue</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5"/>
                <w:szCs w:val="15"/>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52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the rendering of services</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shd w:val="clear" w:color="auto" w:fill="CCEEFF"/>
          </w:tcPr>
          <w:p>
            <w:pPr>
              <w:spacing w:after="0"/>
              <w:rPr>
                <w:sz w:val="18"/>
                <w:szCs w:val="18"/>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from external customers (geographical)</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20</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5—Segment Information</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We are managed and operated as one business unit. No separate business areas or separate business units have been identified in relation to product candidates or geographical markets. Accordingly, we do not disclose information on business segments or geographical markets, except for the geographical information on revenue included in Note 4.</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60"/>
          </w:cols>
          <w:pgMar w:left="240" w:top="455"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6—Warrants and Share-based Payment</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Ascendis Pharma A/S has established warrant programs, equity-settled share-based payment transactions, as an incentive for all our employees, members of our Board of Directors and select external consultants.</w:t>
      </w:r>
    </w:p>
    <w:p>
      <w:pPr>
        <w:spacing w:after="0" w:line="16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Warrants are granted by the Board of Directors in accordance with authorizations given to it by the shareholders of Ascendis Pharma A/S. As of September 30, 2018, 6,841,937 warrants had been granted, of which 19,580 warrants have been cancelled, 2,109,602 warrants have been exercised, 2,168 warrants have expired without being exercised, and 229,782 warrants have been forfeited. As of September 30, 2018, our Board of Directors was authorized to grant up to 3,774,375 additional warrants to our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our ordinary shares at the time of grant as determined by our Board of Directors. The exercise prices of outstanding warrants under our warrant programs range from €6.48 to €60.23 depending on the grant dates. Vested warrants may be exercised in two or four annual exercise periods. Apart from exercise prices and exercise periods, the programs are similar.</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specifies the warrant activity during the nine months ended September 30, 2018:</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4,621,154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(508,757)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2018</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4,480,805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at the balance sheet date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2,318,357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Warrant Compensation Costs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Warrant compensation costs are determined with basis in the grant date fair value of the warrants granted and recognized over the vesting period.</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30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320" w:type="dxa"/>
            <w:vAlign w:val="bottom"/>
            <w:gridSpan w:val="3"/>
            <w:shd w:val="clear" w:color="auto" w:fill="CCEEFF"/>
          </w:tcPr>
          <w:p>
            <w:pPr>
              <w:ind w:left="2600"/>
              <w:spacing w:after="0"/>
              <w:rPr>
                <w:sz w:val="20"/>
                <w:szCs w:val="20"/>
                <w:color w:val="auto"/>
              </w:rPr>
            </w:pPr>
            <w:r>
              <w:rPr>
                <w:rFonts w:ascii="Times New Roman" w:cs="Times New Roman" w:eastAsia="Times New Roman" w:hAnsi="Times New Roman"/>
                <w:sz w:val="18"/>
                <w:szCs w:val="18"/>
                <w:color w:val="auto"/>
              </w:rPr>
              <w:t>1,963</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894</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6,313</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1,922</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1,018</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6,474</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warrant compensation costs</w:t>
            </w:r>
          </w:p>
        </w:tc>
        <w:tc>
          <w:tcPr>
            <w:tcW w:w="2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3,885</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1,912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12,787</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6,923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F-8</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5" w:right="4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7—Share Capital</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share capital of Ascendis Pharma A/S consists of 42,032,522 shares at a nominal value of DKK 1, all in the same share class.</w:t>
      </w:r>
    </w:p>
    <w:p>
      <w:pPr>
        <w:spacing w:after="0" w:line="225"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On February 26, 2018, the Company completed the sale and issuance of 4,539,473 ADSs in a public offering, increasing the Company’s share capital from 36,984,292 shares to 41,523,765 shares.</w:t>
      </w:r>
    </w:p>
    <w:p>
      <w:pPr>
        <w:spacing w:after="0" w:line="162"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In April and June 2018, an aggregate of 317,825 warrants were exercised, increasing the Company’s share capital from 41,523,765 shares to 41,841,590 shares.</w:t>
      </w:r>
    </w:p>
    <w:p>
      <w:pPr>
        <w:spacing w:after="0" w:line="162" w:lineRule="exact"/>
        <w:rPr>
          <w:sz w:val="20"/>
          <w:szCs w:val="20"/>
          <w:color w:val="auto"/>
        </w:rPr>
      </w:pPr>
    </w:p>
    <w:p>
      <w:pPr>
        <w:ind w:left="200" w:right="740" w:firstLine="441"/>
        <w:spacing w:after="0" w:line="282" w:lineRule="auto"/>
        <w:rPr>
          <w:sz w:val="20"/>
          <w:szCs w:val="20"/>
          <w:color w:val="auto"/>
        </w:rPr>
      </w:pPr>
      <w:r>
        <w:rPr>
          <w:rFonts w:ascii="Times New Roman" w:cs="Times New Roman" w:eastAsia="Times New Roman" w:hAnsi="Times New Roman"/>
          <w:sz w:val="18"/>
          <w:szCs w:val="18"/>
          <w:color w:val="auto"/>
        </w:rPr>
        <w:t>In September 2018, an aggregate of 190,932 warrants were exercised, increasing the Company’s share capital from 41,841,590 shares to 42,032,522 shares.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8—Subsequent Events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On November 8, 2018 the Company announced the formation of Visen Pharmaceuticals, a company established to develop, manufacture and commercialize Ascendis’ endocrinology rare disease therapies in the People’s Republic of China, including Hong Kong, Macau and Taiwan (“Greater China”). In connection with the formation of the company, Ascendis granted Visen Pharmaceuticals exclusive rights to develop and commercialize endocrinology therapeutic products based on our proprietary TransCon technology in Greater China, subject to certain exceptions. As consideration for the rights granted to Visen Pharmaceuticals, Ascendis received 50% ownership in the outstanding shares of Visen Pharmaceuticals and concurrently, entities affiliated with Vivo Capital and Sofinnova Ventures purchased shares in Visen Pharmaceutical for an aggregate purchase price of $40,000,000 in cash.</w:t>
      </w:r>
    </w:p>
    <w:p>
      <w:pPr>
        <w:spacing w:after="0" w:line="189" w:lineRule="exact"/>
        <w:rPr>
          <w:sz w:val="20"/>
          <w:szCs w:val="20"/>
          <w:color w:val="auto"/>
        </w:rPr>
      </w:pPr>
    </w:p>
    <w:p>
      <w:pPr>
        <w:ind w:left="200" w:right="740" w:firstLine="441"/>
        <w:spacing w:after="0" w:line="282" w:lineRule="auto"/>
        <w:rPr>
          <w:sz w:val="20"/>
          <w:szCs w:val="20"/>
          <w:color w:val="auto"/>
        </w:rPr>
      </w:pPr>
      <w:r>
        <w:rPr>
          <w:rFonts w:ascii="Times New Roman" w:cs="Times New Roman" w:eastAsia="Times New Roman" w:hAnsi="Times New Roman"/>
          <w:sz w:val="18"/>
          <w:szCs w:val="18"/>
          <w:color w:val="auto"/>
        </w:rPr>
        <w:t>No other events have occurred after the balance sheet date that would have a significant impact on the results or financial position of the Company.</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00"/>
          </w:cols>
          <w:pgMar w:left="240" w:top="455" w:right="4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2017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95" w:lineRule="exact"/>
        <w:rPr>
          <w:sz w:val="20"/>
          <w:szCs w:val="20"/>
          <w:color w:val="auto"/>
        </w:rPr>
      </w:pPr>
    </w:p>
    <w:p>
      <w:pPr>
        <w:ind w:left="860" w:right="660" w:hanging="31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Phase 3 pediatric studies of TransCon Growth Hormone, or hGH, and our plans to initiate a Phase 2 study of TransCon Parathyroid Hormone, or PTH;</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future milestone or royalty payments from our collaboration partners, and the expected timing of such payments;</w:t>
      </w:r>
    </w:p>
    <w:p>
      <w:pPr>
        <w:spacing w:after="0" w:line="130" w:lineRule="exact"/>
        <w:rPr>
          <w:rFonts w:ascii="Times New Roman" w:cs="Times New Roman" w:eastAsia="Times New Roman" w:hAnsi="Times New Roman"/>
          <w:sz w:val="18"/>
          <w:szCs w:val="18"/>
          <w:color w:val="auto"/>
        </w:rPr>
      </w:pPr>
    </w:p>
    <w:p>
      <w:pPr>
        <w:ind w:left="860" w:right="540" w:hanging="31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 candidates over existing therapies;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develop additional product candidates using our TransCon technology;</w:t>
      </w:r>
    </w:p>
    <w:p>
      <w:pPr>
        <w:spacing w:after="0" w:line="130" w:lineRule="exact"/>
        <w:rPr>
          <w:rFonts w:ascii="Times New Roman" w:cs="Times New Roman" w:eastAsia="Times New Roman" w:hAnsi="Times New Roman"/>
          <w:sz w:val="18"/>
          <w:szCs w:val="18"/>
          <w:color w:val="auto"/>
        </w:rPr>
      </w:pPr>
    </w:p>
    <w:p>
      <w:pPr>
        <w:ind w:left="860" w:right="20" w:hanging="31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current and future collaboration partners to pursue the development of our product candidates;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product candidates;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acquire and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of our product candidates and associated devices;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ectPr>
          <w:pgSz w:w="11900" w:h="16838" w:orient="portrait"/>
          <w:cols w:equalWidth="0" w:num="1">
            <w:col w:w="11020"/>
          </w:cols>
          <w:pgMar w:left="440" w:top="117" w:right="439" w:bottom="1440" w:gutter="0" w:footer="0" w:header="0"/>
        </w:sectPr>
      </w:pPr>
    </w:p>
    <w:bookmarkStart w:id="13" w:name="page14"/>
    <w:bookmarkEnd w:id="13"/>
    <w:p>
      <w:pPr>
        <w:ind w:left="860" w:right="520" w:hanging="31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estimates of our expenses, future revenue, capital requirements, our needs for additional financing and our ability to obtain additional capital;</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25"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2017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8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(the “SEC”) after the date of this report. We qualify all of our forward-looking statements by these cautionary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We are applying our innovative TransCon technology to build a leading, fully integrated biopharmaceutical company and develop a pipeline of product candidates with potential best-in-class profiles to address significant unmet medical needs. We have created a portfolio of potential best-in-class rare disease endocrinology product candidates to address unmet medical needs by utilizing our TransCon technology with clinically validated parent drugs. We currently have three product candidates in clinical development.</w:t>
      </w:r>
    </w:p>
    <w:p>
      <w:pPr>
        <w:spacing w:after="0" w:line="180"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Our most advanced product candidate, TransCon hGH, is in development as a once-weekly therapy to treat growth hormone deficiency, or GHD, and related indications. In January 2018, we completed enrollment in the pivotal Phase 3 trial of TransCon hGH, the heiGHt Trial, in pediatric subjects with GHD and the observed aggregate data from the heiGHt Trial continue to demonstrate a safety profile consistent with the published safety profile of the active comparator, Genotropin. We anticipate top-line data from the ongoing heiGHt Trial in the first quarter of 2019. We are also conducting two additional trials, the fliGHt Trial, which evaluates TransCon hGH in pediatric subjects previously treated with daily GH, and the enliGHten Trial, which evaluates long-term safety of TransCon hGH in subjects from both the heiGHt and fliGHt Trials. We believe that TransCon hGH may offer a once-weekly therapy for GHD with comparable safety, efficacy and tolerability to currently approved daily recombinant human growth hormone, also referred to as rhGH or GH. Clinical trials of TransCon hGH in pediatric subjects have demonstrated a comparable efficacy, safety, tolerability and immunogenic profile to that of daily growth hormone. We have also conducted a clinical trial in adult subjects which will form the basis of designing future clinical research in adult subjects. If approved, TransCon hGH may reduce the burden of daily treatment by requiring significantly fewer injections, which may improve compliance and treatment outcomes.</w:t>
      </w:r>
    </w:p>
    <w:p>
      <w:pPr>
        <w:spacing w:after="0" w:line="19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are also using our TransCon technology platform to develop TransCon PTH, which is designed as a once-daily long-acting injectable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In this trial, TransCon PTH showed the predicted pharmacokinetic and pharmacodynamic response, suggesting the ability to normalize serum and urinary calcium levels in patients with hypoparathyroidism. We believe our TransCon PTH may provide patients suffering from hypoparathyroidism with a PTH replacement therapy that is designed to fully address all aspects of the disease more than standard of care or currently approved therapies. In May 2018, we were granted Orphan Drug Designation, or ODD, by the U.S. Food and Drug Administration, of the FDA, for TransCon PTH. ODD is provided to drugs that are intended for the safe and effective treatment, diagnosis, or prevention of rare diseases or disorders that affect fewer than 200,000 people in the United States. We plan to initiate the phase 2 trial in patients with hypoparathyroidism in the first quarter of 2019 to evaluate different dosing regimens of TransCon PTH, including with titration of calcium and active Vitamin D supplementation. We also intend to incorporate trial sites in Japan and possibly other Asian countries in our plan phase 3 program for TransCon PTH.</w:t>
      </w:r>
    </w:p>
    <w:p>
      <w:pPr>
        <w:spacing w:after="0" w:line="193"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We are also developing TransCon CNP, a long-acting prodrug of C-type natriuretic peptide, as a therapeutic option for achondroplasia, the most common form of dwarfism. Currently, there are no medical therapies for achondroplasia approved by the FDA. TransCon CNP utilizes our TransCon technology platform to deliver a long-acting C-type natriuretic peptide, or CNP, prodrug as a therapeutic option for achondroplasia and potentially other skeletal disorders. CNP as a therapeutic approach is supported by</w:t>
      </w:r>
    </w:p>
    <w:p>
      <w:pPr>
        <w:sectPr>
          <w:pgSz w:w="11900" w:h="16838" w:orient="portrait"/>
          <w:cols w:equalWidth="0" w:num="1">
            <w:col w:w="11000"/>
          </w:cols>
          <w:pgMar w:left="440" w:top="270" w:right="459" w:bottom="1440" w:gutter="0" w:footer="0" w:header="0"/>
        </w:sectPr>
      </w:pPr>
    </w:p>
    <w:bookmarkStart w:id="14" w:name="page15"/>
    <w:bookmarkEnd w:id="14"/>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extensive preclinical and clinical data. In May 2018, we initiated dosing of healthy subjects in a Phase 1 clinical trial of TransCon CNP. We reported top-line results from this Phase 1 clinical trial in healthy adult subjects in November 2018, which supported our target product profile for TransCon CNP. The results showed TransCon CNP provided continuous exposure to C-type natriuretic peptide (CNP) with a pharmacokinetic profile designed to maximize efficacy with once-weekly dosing. Additionally, the mean resting blood pressure and heart rate were unchanged from predose levels at all time points in all cohorts. Our goal is to develop TransCon CNP as a safe and effective therapeutic option for achondroplasia and potentially other related growth disorders.</w:t>
      </w:r>
    </w:p>
    <w:p>
      <w:pPr>
        <w:spacing w:after="0" w:line="18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November 2018, we announced the formation of VISEN Pharmaceuticals, or Visen, a company established to develop, manufacture, and commercialize our endocrinology rare disease therapies in the People’s Republic of China, including Hong Kong, Macau, and Taiwan, or Greater China. In connection with the formation of Visen, we granted Visen exclusive rights to develop and commercialize our rare disease endocrinology products based on our proprietary TransCon technology,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$40,000,000. We believe the Visen partnership supports our strategy to extend our endocrinology rare disease portfolio globally and establish a presence in China with collaborators who have significant experience and knowledge of the biopharmaceutical opportunity in China. In part because the company is being established in China, we believe Visen can effectively develop, manufacture, and, if approved, market our innovative technologies to address the needs of the local markets in Greater China.</w:t>
      </w:r>
    </w:p>
    <w:p>
      <w:pPr>
        <w:spacing w:after="0" w:line="186"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Additionally, we have developed a pipeline of sustained release prodrug product candidates through strategic collaborations. These include TransCon anti-VEGF in the field of ophthalmology, which is partnered with Genentech, and the TransCon peptide program for treatment of diabetes, which is partnered with Sanofi. We are eligible to receive up to an aggregate of €200 million in development and regulatory milestone payments for products currently being developed under our collaboration agreements, as well as sales-based milestone payments and royalties on future net sales of products.</w:t>
      </w:r>
    </w:p>
    <w:p>
      <w:pPr>
        <w:spacing w:after="0" w:line="184"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We believe that the effectiveness of our TransCon technology is supported by data from our preclinical research and the ongoing clinical programs, including our TransCon hGH, TransCon PTH and TransCon CNP programs, as well as findings from our ongoing development of other product candidates, including our multi-product collaborations with Sanofi and Genentech. We have applied the TransCon technology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8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Our TransCon technology enables us to create long-acting prodrug therapies with potentially significant advantages over existing marketed drug products. Our TransCon technology transiently links an unmodified parent drug to a TransCon carrier via our proprietary TransCon linkers. Our TransCon linkers predictably release an unmodified active parent drug at predetermined rates governed by physiological pH and temperature conditions,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84"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commenced operations in December 2007 in connection with the acquisition of the company that invented our TransCon technology,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0" w:lineRule="exact"/>
        <w:rPr>
          <w:sz w:val="20"/>
          <w:szCs w:val="20"/>
          <w:color w:val="auto"/>
        </w:rPr>
      </w:pPr>
    </w:p>
    <w:p>
      <w:pPr>
        <w:ind w:right="1000" w:firstLine="441"/>
        <w:spacing w:after="0" w:line="313" w:lineRule="auto"/>
        <w:rPr>
          <w:sz w:val="20"/>
          <w:szCs w:val="20"/>
          <w:color w:val="auto"/>
        </w:rPr>
      </w:pPr>
      <w:r>
        <w:rPr>
          <w:rFonts w:ascii="Times New Roman" w:cs="Times New Roman" w:eastAsia="Times New Roman" w:hAnsi="Times New Roman"/>
          <w:sz w:val="17"/>
          <w:szCs w:val="17"/>
          <w:color w:val="auto"/>
        </w:rPr>
        <w:t>We had a net loss of €98.1 million for the nine months ended September 30, 2018 and a net loss of €123.9 million for the year ended December 31, 2017. Our total equity was €304.2 million as of September 30, 2018 compared to €187.2 million as of December 31, 2017.</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2018 and 2017 (unaudited):</w:t>
      </w:r>
    </w:p>
    <w:p>
      <w:pPr>
        <w:spacing w:after="0" w:line="250"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600" w:type="dxa"/>
            <w:vAlign w:val="bottom"/>
            <w:gridSpan w:val="3"/>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(31,511)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(38,287)</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(34,067)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(34,117)</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profit / (loss) for the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 for the period</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(33,967)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revenue for the three months ended September 30, 2018 and 2017 (unaudited):</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the rendering of services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September 30, 2018 was €20 thousand, a decrease of €414 thousand, or 95%, compared to total revenue of €434 thousand for the three months ended September 30, 2017. This change was due to fewer services rendered by us under our collaboration with Genentech.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Research and development costs were €31.5 million for the three months ended September 30, 2018, an increase of €2.4 million, or 8%, compared to €29.1 million for the three months ended September 30, 2017. External development costs related to our TransCon PTH product candidate increased by €1.9 million, including manufacturing costs for our product candidate and device, whereas external development costs related to our TransCon hGH product candidate decreased by €5.8 million, primarily reflecting lower manufacturing costs, partly offset by higher costs of clinical trials. Costs for preparation of the manufacturing of validation batches for the TransCon hGH product candidate increased by €1.8 million compared to the same period of last year. The validation batches are required as part of the regulatory approval process with the FDA, and, as such, are recognized as development costs when incurred, but after potential marketing approval, the products from these validation batches can be used for commercial sales, thereby reducing the costs of sales for the first period after market launch. External development costs for our TransCon CNP product candidate were comparable with the same period of last year, reflecting increasing clinical study costs and decreasing preclinical costs, consistent with the progress of this product candidate into the clinical development phase. Other research and development costs increased by approximately €6.3 million, primarily driven by an increase in personnel costs of €4.0 million due to a higher number of employees in research and development functions, an increase in facility and IT costs allocated to research and development of €1.2 million and an increase in costs for patent protection of €0.4 million, as well as general increases due to the growth in headcount and activities. Research and development costs included non-cash share-based payment of €2.0 million for the three months ended September 30, 2018, compared to €0.9 million for the three months ended September 30, 2017.</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€6.8 million for the three months ended September 30, 2018, an increase of €4.0 million, or 139%, compared to general and administrative expenses of €2.8 million for the three months ended September 30, 2017. The increase is primarily due to an increase in personnel costs of €2.1 million for additional administrative personnel. Other general and administrative expenses increased by €0.7 million due to the initial costs of preparing to become a commercial organization and a general increase in operating activities. General and administrative expenses included non-cash share-based payment of €1.9 million for the three months ended September 30, 2018, compared to €1.0 million for the three months ended September 30, 2017.</w:t>
      </w:r>
    </w:p>
    <w:p>
      <w:pPr>
        <w:sectPr>
          <w:pgSz w:w="11900" w:h="16838" w:orient="portrait"/>
          <w:cols w:equalWidth="0" w:num="1">
            <w:col w:w="11000"/>
          </w:cols>
          <w:pgMar w:left="440" w:top="266"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Finance Income and Finance Expenses</w:t>
      </w:r>
    </w:p>
    <w:p>
      <w:pPr>
        <w:spacing w:after="0" w:line="121"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Finance income was €4.3 million for the three months ended September 30, 2018, an increase of €4.1 million compared to €0.2 million for the three months ended September 30, 2017. Finance expenses were €42 thousand for the three months ended September 30, 2018, a decrease of</w:t>
      </w:r>
    </w:p>
    <w:p>
      <w:pPr>
        <w:ind w:right="340"/>
        <w:spacing w:after="0" w:line="255" w:lineRule="auto"/>
        <w:rPr>
          <w:sz w:val="20"/>
          <w:szCs w:val="20"/>
          <w:color w:val="auto"/>
        </w:rPr>
      </w:pPr>
      <w:r>
        <w:rPr>
          <w:rFonts w:ascii="Times New Roman" w:cs="Times New Roman" w:eastAsia="Times New Roman" w:hAnsi="Times New Roman"/>
          <w:sz w:val="18"/>
          <w:szCs w:val="18"/>
          <w:color w:val="auto"/>
        </w:rPr>
        <w:t>€2.8 million compared to the same period of 2017. The €6.9 million increase in net finance income was due to positive exchange rate fluctuations, primarily between the U.S. Dollar and Euro in the three months ended September 30, 2018, primarily affecting our cash position maintained in U.S. Dollars, which was significantly higher compared to the same period last year.</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hold any interest-bearing debt for any of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for the Period</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Tax for the three months ended September 30, 2018 was a net credit of €100 thousand compared to a net credit of €240 thousand for the three months ended September 30, 2017. Taxes for the three months ended September 30, 2018 were comprised of an estimated tax credit of €185 thousand in the group of Danish companies partly offset by tax payments of €85 thousand in our U.S. and German subsidiaries. Taxes for the three months ended September 30, 2017 were comprised of an estimated tax credit of €188 thousand in the group of Danish companies and a tax credit of €138 thousand in our U.S. subsidiary, partly offset by tax expenses of €87 thousand in our German subsidiary.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2018 and 2017 (unaudited):</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7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7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(102,286)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(16,684)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(9,396)</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(118,904)</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(79,701)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(98,425)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(90,013)</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profit / (loss) for the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 for the period</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(98,119)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revenue for the nine months ended September 30, 2018 and 2017 (unaudited):</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the rendering of services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Total revenue for the nine months ended September 30, 2018 was €0.1 million, a decrease of €1.2 million, or 95%, compared to total revenue of €1.3 million for the nine months ended September 30, 2017. This change was due to fewer services rendered by us under our collaboration with Genentech.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Research and development costs were €102.3 million for the nine months ended September 30, 2018, an increase of €30.7 million, or 43%, compared to €71.6 million for the nine months ended September 30, 2017. The increase was primarily attributable to a €10.3 million increase in external development costs related to our TransCon hGH product candidate, including costs for preparation of the manufacturing of validation batches, or process performance qualification batches, and increasing costs of the ongoing clinical trials for this product candidate. External development costs related to our TransCon PTH and TransCon CNP</w:t>
      </w:r>
    </w:p>
    <w:p>
      <w:pPr>
        <w:sectPr>
          <w:pgSz w:w="11900" w:h="16838" w:orient="portrait"/>
          <w:cols w:equalWidth="0" w:num="1">
            <w:col w:w="11000"/>
          </w:cols>
          <w:pgMar w:left="440" w:top="266" w:right="459" w:bottom="1440" w:gutter="0" w:footer="0" w:header="0"/>
        </w:sectPr>
      </w:pPr>
    </w:p>
    <w:bookmarkStart w:id="17" w:name="page18"/>
    <w:bookmarkEnd w:id="1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projects increased by €5.7 million and €1.8 million, respectively, reflecting the continued development and progress with these two product candidates. Other research and development costs increased by approximately €12.9 million, primarily driven by an increase in personnel costs of €9.3 million due to a higher number of employees in research and development functions, but also reflecting increasing costs to recruitment, travel, facilities and IT allocated to research and development due to the growth in headcount and increasing activities, and increasing costs for patent protection. Research and development costs included non-cash share-based payment of €6.3 million for the nine months ended September 30, 2018, compared to €3.3 million for the nine months ended September 30, 2017.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€16.7 million for the nine months ended September 30, 2018, an increase of €7.3 million, or 78%, compared to general and administrative expenses of €9.4 million for the nine months ended September 30, 2017. The increase is primarily due to €5.0 million higher personnel costs for additional administrative personnel, €0.8 million in initial costs of preparing to become a commercial organization, and €0.9 million higher professional fees, including recruitment costs, legal and audit costs. General and administrative expenses included non-cash share-based payment of €6.5 million for the nine months ended September 30, 2018, compared to €3.6 million for the nine months ended September 30, 2017.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Expenses</w:t>
      </w:r>
    </w:p>
    <w:p>
      <w:pPr>
        <w:spacing w:after="0" w:line="121"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Finance income was €20.5 million for the nine months ended September 30, 2018, an increase of €20.0 million compared to €0.5 million for the nine months ended September 30, 2017. Finance expenses were €53 thousand for the nine months ended September 30, 2018, a decrease of</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€10.7 million compared to €10.8 million in the same period of 2017. The €30.7 million increase in net finance income was due to positive exchange rate fluctuations, primarily between the U.S. Dollar and Euro in the nine months ended September 30, 2018, primarily affecting our cash position maintained in U.S. Dollars, which was significantly higher compared to the same period last year.</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hold any interest-bearing debt for any of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for the Period</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Tax for the nine months ended September 30, 2018 was a net credit of €0.3 million, which was similar to the same period in 2017. Taxes for the nine months ended September 30, 2018 were comprised of an estimated tax credit of €0.6 million in the group of Danish companies partly offset by tax expenses of €0.3 million in our U.S. and German subsidiaries. Taxes for the nine months ended September 30, 2017 were comprised of an estimated tax credit of €0.5 million in the group of Danish companies partly offset by tax expenses of €0.2 million in our German and U.S.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2018, we had cash and cash equivalents totaling €310.3 million compared to €195.4 million as of December 31, 2017.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formation, we have funded our operations primarily through issuance of our preference shares, ordinary shares and convertible debt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us under our collaboration agreements. In February 2015, we announced the closing of our initial public offering, with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$111.5 million (or €101.4 million at such date). In 2016, we completed a follow-on public offering of American Depositary Shares, or ADSs, with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$127.1 million (or €116.6 million) and in 2017, we completed a follow-on public offering of ADSs, with net proceeds of $145.2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€123.1 million). In February 2018, we completed a follow-on public offering of ADSs, with net proceeds of $242.5 million (or €196.9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exercise in full of the underwriters’ option to purchase additional ADSs. Our expenditures are primarily related to research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activities and general and administrative activities to support research and development. We do not owe any debt to third parties.</w:t>
      </w:r>
    </w:p>
    <w:p>
      <w:pPr>
        <w:spacing w:after="0" w:line="20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as of September 30, 2018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86" w:lineRule="exact"/>
        <w:rPr>
          <w:sz w:val="20"/>
          <w:szCs w:val="20"/>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30" w:lineRule="exact"/>
        <w:rPr>
          <w:rFonts w:ascii="Times New Roman" w:cs="Times New Roman" w:eastAsia="Times New Roman" w:hAnsi="Times New Roman"/>
          <w:sz w:val="18"/>
          <w:szCs w:val="18"/>
          <w:color w:val="auto"/>
        </w:rPr>
      </w:pPr>
    </w:p>
    <w:p>
      <w:pPr>
        <w:ind w:left="860" w:right="280" w:hanging="31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67" w:lineRule="exact"/>
        <w:rPr>
          <w:rFonts w:ascii="Times New Roman" w:cs="Times New Roman" w:eastAsia="Times New Roman" w:hAnsi="Times New Roman"/>
          <w:sz w:val="18"/>
          <w:szCs w:val="18"/>
          <w:color w:val="auto"/>
        </w:rPr>
      </w:pPr>
    </w:p>
    <w:p>
      <w:pPr>
        <w:ind w:left="860" w:right="500" w:hanging="31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ectPr>
          <w:pgSz w:w="11900" w:h="16838" w:orient="portrait"/>
          <w:cols w:equalWidth="0" w:num="1">
            <w:col w:w="11020"/>
          </w:cols>
          <w:pgMar w:left="440" w:top="270" w:right="439" w:bottom="1440" w:gutter="0" w:footer="0" w:header="0"/>
        </w:sectPr>
      </w:pPr>
    </w:p>
    <w:bookmarkStart w:id="18" w:name="page19"/>
    <w:bookmarkEnd w:id="18"/>
    <w:p>
      <w:pPr>
        <w:ind w:left="860" w:right="40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and cost necessary to obtain regulatory approvals for our product candidates that have not been licensed and the costs of post-marketing studies that could be required by regulatory authorities;</w:t>
      </w:r>
    </w:p>
    <w:p>
      <w:pPr>
        <w:spacing w:after="0" w:line="67" w:lineRule="exact"/>
        <w:rPr>
          <w:rFonts w:ascii="Times New Roman" w:cs="Times New Roman" w:eastAsia="Times New Roman" w:hAnsi="Times New Roman"/>
          <w:sz w:val="18"/>
          <w:szCs w:val="18"/>
          <w:color w:val="auto"/>
        </w:rPr>
      </w:pPr>
    </w:p>
    <w:p>
      <w:pPr>
        <w:ind w:left="860" w:right="32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and the progress of our collaboration partners in the successful commercialization and co-promotion of our most advanced product candidates and our efforts to develop and commercialize our other existing product candidates;</w:t>
      </w:r>
    </w:p>
    <w:p>
      <w:pPr>
        <w:spacing w:after="0" w:line="67" w:lineRule="exact"/>
        <w:rPr>
          <w:rFonts w:ascii="Times New Roman" w:cs="Times New Roman" w:eastAsia="Times New Roman" w:hAnsi="Times New Roman"/>
          <w:sz w:val="18"/>
          <w:szCs w:val="18"/>
          <w:color w:val="auto"/>
        </w:rPr>
      </w:pPr>
    </w:p>
    <w:p>
      <w:pPr>
        <w:ind w:left="860" w:right="16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product candidates, including the cost and timing of building our sales and marketing capabilities;</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 candidates;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30" w:lineRule="exact"/>
        <w:rPr>
          <w:rFonts w:ascii="Times New Roman" w:cs="Times New Roman" w:eastAsia="Times New Roman" w:hAnsi="Times New Roman"/>
          <w:sz w:val="18"/>
          <w:szCs w:val="18"/>
          <w:color w:val="auto"/>
        </w:rPr>
      </w:pPr>
    </w:p>
    <w:p>
      <w:pPr>
        <w:ind w:left="860" w:right="72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technology; and</w:t>
      </w:r>
    </w:p>
    <w:p>
      <w:pPr>
        <w:spacing w:after="0" w:line="67" w:lineRule="exact"/>
        <w:rPr>
          <w:rFonts w:ascii="Times New Roman" w:cs="Times New Roman" w:eastAsia="Times New Roman" w:hAnsi="Times New Roman"/>
          <w:sz w:val="18"/>
          <w:szCs w:val="18"/>
          <w:color w:val="auto"/>
        </w:rPr>
      </w:pPr>
    </w:p>
    <w:p>
      <w:pPr>
        <w:ind w:left="860" w:right="80" w:hanging="316"/>
        <w:spacing w:after="0" w:line="26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7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unaudited nine month periods ended September 30, 2018 and 2017:</w:t>
      </w:r>
    </w:p>
    <w:p>
      <w:pPr>
        <w:spacing w:after="0" w:line="24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700" w:type="dxa"/>
            <w:vAlign w:val="bottom"/>
            <w:gridSpan w:val="3"/>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 (used in) operating activities</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(103,240)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(70,942)</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 (used in) investing activities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 (used in)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202,342</w:t>
            </w:r>
          </w:p>
        </w:tc>
        <w:tc>
          <w:tcPr>
            <w:tcW w:w="3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108,295</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97,515</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36,647</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 (Used in) Operating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2018 was €103.2 million compared to €70.9 million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2017. The net loss for the nine months ended September 30, 2018 of €98.1 million included non-cash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for depreciation and €12.8 million for share-based payment. Net finance income of €20.5 million, primarily comprising exchange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and net tax credits of €0.3 million, were reversed. The net change in working capital contributed negatively to cash flow by €0.4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comprising a €7.2 million increase in trade payables and other payables, offset by a €5.5 million increase in prepayments, a €1.2 million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receivables and other receivables and a €0.9 million increase in deposits. We received net finance income of €3.0 million and paid income taxes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in the nine months ended September 30, 2018.</w:t>
      </w:r>
    </w:p>
    <w:p>
      <w:pPr>
        <w:spacing w:after="0" w:line="207"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2017 was €70.9 million. The net loss for the nine months ended September 30, 2017 of €89.7 million included non-cash charges of €0.5 million for depreciation and €6.9 million for share-based payment. Net finance expenses, primarily comprising exchange rate adjustments, of €10.3 million and net tax credits of €0.3 million, were reversed. The net change in working capital contributed positively to cash flow by €1.2 million, primarily comprising a €6.6 million increase in trade payables and other payables, partly offset by an increase in prepayments and trade receivables of €5.4 million. We received net finance income of €0.4 million and paid income taxes of €0.2 million in the nine months ended September 30, 2017.</w:t>
      </w:r>
    </w:p>
    <w:p>
      <w:pPr>
        <w:sectPr>
          <w:pgSz w:w="11900" w:h="16838" w:orient="portrait"/>
          <w:cols w:equalWidth="0" w:num="1">
            <w:col w:w="10960"/>
          </w:cols>
          <w:pgMar w:left="440" w:top="270"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Flows From / (Used in) Investing Activities</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2018 of €1.6 million were related to acquisition of property, plant and equipment, primarily furniture and equipment for use in our new offices in Denmark and in the United States, and equipment for use in the laboratories of our German facility.</w:t>
      </w:r>
    </w:p>
    <w:p>
      <w:pPr>
        <w:spacing w:after="0" w:line="176"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2017 of €0.7 million were primarily related to acquisition of equipment for use in the laboratories of our German facility, but also comprising acquisitions of furniture and equipment for expanding our offices in Denmark and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 (Used in) Financing Activities</w:t>
      </w:r>
    </w:p>
    <w:p>
      <w:pPr>
        <w:spacing w:after="0" w:line="12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Cash flows from financing activities for the nine months ended September 30, 2018 of €202.3 million were comprised of €196.9 million in net proceeds from our follow-on public offering of ADSs completed in February 2018 and €5.4 million in proceeds from exercise of warrants in April, June and September 2018.</w:t>
      </w:r>
    </w:p>
    <w:p>
      <w:pPr>
        <w:spacing w:after="0" w:line="176" w:lineRule="exact"/>
        <w:rPr>
          <w:sz w:val="20"/>
          <w:szCs w:val="20"/>
          <w:color w:val="auto"/>
        </w:rPr>
      </w:pPr>
    </w:p>
    <w:p>
      <w:pPr>
        <w:jc w:val="both"/>
        <w:ind w:right="500" w:firstLine="441"/>
        <w:spacing w:after="0" w:line="266" w:lineRule="auto"/>
        <w:rPr>
          <w:sz w:val="20"/>
          <w:szCs w:val="20"/>
          <w:color w:val="auto"/>
        </w:rPr>
      </w:pPr>
      <w:r>
        <w:rPr>
          <w:rFonts w:ascii="Times New Roman" w:cs="Times New Roman" w:eastAsia="Times New Roman" w:hAnsi="Times New Roman"/>
          <w:sz w:val="18"/>
          <w:szCs w:val="18"/>
          <w:color w:val="auto"/>
        </w:rPr>
        <w:t>Cash flows from financing activities for the nine months ended September 30, 2017 of €108.3 million were related to our follow-on public offering of ADSs completed in September 2017 in which we raised net proceeds of €107.1 million and exercise of warrants in March, August and September 2017, in which we raised €1.2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Disclosures about Market Risk</w:t>
      </w:r>
    </w:p>
    <w:p>
      <w:pPr>
        <w:spacing w:after="0" w:line="121"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Our activities primarily expose us to the financial risks of changes in foreign currency exchange rates and interest rates. We do not enter into derivative financial instruments to manage our exposure to such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We are exposed to foreign exchange risk arising from various currency exposures, primarily with respect to the U.S. Dollar, the British Pound and the Danish Krone. Our functional currency is the Euro, but we have received payments in U.S. Dollars under our collaborations. Further, the proceeds from our series D financing in November 2014, our IPO in February 2015 and our follow-on public offerings in October 2016, September 2017, and February 2018 were in U.S. Dollars. We seek to minimize our exchange rate risk by maintaining cash positions in the currencies in which we expect to incur the majority of our future expenses and we make payments from those positions.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As we have no interest-bearing debt to third parties,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w:t>
      </w:r>
    </w:p>
    <w:p>
      <w:pPr>
        <w:spacing w:after="0" w:line="176"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We have adopted an investment policy with the primary purpose of preserving capital, fulfilling our liquidity needs and diversifying the risks associated with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firstLine="441"/>
        <w:spacing w:after="0" w:line="281" w:lineRule="auto"/>
        <w:rPr>
          <w:sz w:val="20"/>
          <w:szCs w:val="20"/>
          <w:color w:val="auto"/>
        </w:rPr>
      </w:pPr>
      <w:r>
        <w:rPr>
          <w:rFonts w:ascii="Times New Roman" w:cs="Times New Roman" w:eastAsia="Times New Roman" w:hAnsi="Times New Roman"/>
          <w:sz w:val="17"/>
          <w:szCs w:val="17"/>
          <w:color w:val="auto"/>
        </w:rPr>
        <w:t>We consider all of our material counterparties to be creditworthy. Our exposure to credit risk is continuously monitored, in particular, if agreed payments are delayed. While the concentration of credit risk is significant, we consider the credit risk for each of our individual customers to be low. Accordingly, we have made no provision for doubtful accounts. The credit risk on cash and cash equivalents is limited because the counterparties are banks with high credit ratings assigned by international credit-rating agencies. To spread our credit risk, we deposit our cash reserves with several banks.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w:t>
      </w:r>
    </w:p>
    <w:p>
      <w:pPr>
        <w:sectPr>
          <w:pgSz w:w="11900" w:h="16838" w:orient="portrait"/>
          <w:cols w:equalWidth="0" w:num="1">
            <w:col w:w="11020"/>
          </w:cols>
          <w:pgMar w:left="440" w:top="26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5495290</wp:posOffset>
            </wp:positionH>
            <wp:positionV relativeFrom="paragraph">
              <wp:posOffset>174625</wp:posOffset>
            </wp:positionV>
            <wp:extent cx="1509395" cy="540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093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Ascendis Pharma A/S Reports Third Quarter 2018 Financial Results</w:t>
      </w:r>
    </w:p>
    <w:p>
      <w:pPr>
        <w:spacing w:after="0" w:line="225" w:lineRule="exact"/>
        <w:rPr>
          <w:sz w:val="20"/>
          <w:szCs w:val="20"/>
          <w:color w:val="auto"/>
        </w:rPr>
      </w:pPr>
    </w:p>
    <w:p>
      <w:pPr>
        <w:jc w:val="center"/>
        <w:ind w:left="460" w:right="740"/>
        <w:spacing w:after="0" w:line="502" w:lineRule="auto"/>
        <w:rPr>
          <w:sz w:val="20"/>
          <w:szCs w:val="20"/>
          <w:color w:val="auto"/>
        </w:rPr>
      </w:pPr>
      <w:r>
        <w:rPr>
          <w:rFonts w:ascii="Times New Roman" w:cs="Times New Roman" w:eastAsia="Times New Roman" w:hAnsi="Times New Roman"/>
          <w:sz w:val="18"/>
          <w:szCs w:val="18"/>
          <w:b w:val="1"/>
          <w:bCs w:val="1"/>
          <w:i w:val="1"/>
          <w:iCs w:val="1"/>
          <w:color w:val="auto"/>
        </w:rPr>
        <w:t>—TransCon CNP preliminary phase 1 data support target product profile and further validates TransCon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8"/>
          <w:szCs w:val="18"/>
          <w:b w:val="1"/>
          <w:bCs w:val="1"/>
          <w:i w:val="1"/>
          <w:iCs w:val="1"/>
          <w:color w:val="auto"/>
        </w:rPr>
        <w:t xml:space="preserve"> technology— —Diversified pipeline with three independent, clinically-validated rare disease endocrinology product candidates now in place— —Conference call today at 4:30 p.m. Eastern Time—</w:t>
      </w: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COPENHAGEN, Denmark, November 28, 2018 (GLOBE NEWSWIRE)—Ascendis Pharma A/S (Nasdaq: ASND), a biopharmaceutical company that utilizes its innovative TransCon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to address significant unmet medical needs, today announced financial results for the quarter ended September 30, 2018 and released preliminary phase 1 data for TransCon CNP.</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support our vision for sustainable growth, we are creating a diversified pipeline of three independent product candidates in rare endocrine diseases. We have made a major step towards this goal with three clinically-validated, high value product candidates in one therapeutic area,” said Jan Mikkelsen, Ascendis Pharma’s President and Chief Executive Officer. “With today’s positive TransCon CNP data, we are intrigued by the opportunity to establish a leadership position in treatment of numerous growth disorders by pursuing additional indications and potential treatment synergies within our endocrinology pipeline.”</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He continued, “we remain focused on delivering top-line results for our pivotal phase 3 trial of TransCon hGH, while we continue to make progress towards initiation of the phase 2 trial for TransCon PTH, both key milestones anticipated in the first quarter of 2019. Additionally, we announced the formation of VISEN Pharmaceuticals to develop and commercialize our rare disease endocrinology programs in Greater China. This progress advances our vision to build a global, fully integrated biopharma company that will deliver sustainable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 &amp; Progress</w:t>
      </w:r>
    </w:p>
    <w:p>
      <w:pPr>
        <w:spacing w:after="0" w:line="135" w:lineRule="exact"/>
        <w:rPr>
          <w:sz w:val="20"/>
          <w:szCs w:val="20"/>
          <w:color w:val="auto"/>
        </w:rPr>
      </w:pPr>
    </w:p>
    <w:p>
      <w:pPr>
        <w:ind w:left="440" w:right="180" w:hanging="328"/>
        <w:spacing w:after="0" w:line="258"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Released preliminary data from the phase 1, double-blind, randomized, placebo-controlled trial of TransCon CNP, a long-acting prodrug of CNP in development as a therapeutic option for achondroplasia. Results of the trial in 45 healthy adult subjects showed that TransCon CNP was generally well tolerated and provided continuous exposure to CNP at target levels over seven days with a single subcutaneous administration. Details are available in a separate press release issued today and a related slide presentation may be viewed on the Ascendis Pharma website at: </w:t>
      </w:r>
      <w:r>
        <w:rPr>
          <w:rFonts w:ascii="Times New Roman" w:cs="Times New Roman" w:eastAsia="Times New Roman" w:hAnsi="Times New Roman"/>
          <w:sz w:val="18"/>
          <w:szCs w:val="18"/>
          <w:u w:val="single" w:color="auto"/>
          <w:color w:val="auto"/>
        </w:rPr>
        <w:t>https://ascendispharma.gcs-web.com/events-and-presentations/upcoming-events</w:t>
      </w:r>
      <w:r>
        <w:rPr>
          <w:rFonts w:ascii="Times New Roman" w:cs="Times New Roman" w:eastAsia="Times New Roman" w:hAnsi="Times New Roman"/>
          <w:sz w:val="18"/>
          <w:szCs w:val="18"/>
          <w:color w:val="auto"/>
        </w:rPr>
        <w:t xml:space="preserve"> .</w:t>
      </w:r>
    </w:p>
    <w:p>
      <w:pPr>
        <w:spacing w:after="0" w:line="89" w:lineRule="exact"/>
        <w:rPr>
          <w:rFonts w:ascii="Times New Roman" w:cs="Times New Roman" w:eastAsia="Times New Roman" w:hAnsi="Times New Roman"/>
          <w:sz w:val="18"/>
          <w:szCs w:val="18"/>
          <w:color w:val="auto"/>
        </w:rPr>
      </w:pPr>
    </w:p>
    <w:p>
      <w:pPr>
        <w:ind w:left="440" w:right="20" w:hanging="328"/>
        <w:spacing w:after="0" w:line="261"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report top-line results in the first quarter of 2019 for the phase 3 heiGHt Trial, a randomized, open-label, active-control trial comparing once-weekly TransCon hGH with a daily growth hormone therapy in treatment-naïve pediatric subjects with growth hormone deficiency (GHD). Completed third independent safety committee review; to date, the observed aggregate data from the heiGHt Trial continue to indicate a safety profile for TransCon hGH that is consistent with the published safety profile of the active comparator.</w:t>
      </w:r>
    </w:p>
    <w:p>
      <w:pPr>
        <w:spacing w:after="0" w:line="85" w:lineRule="exact"/>
        <w:rPr>
          <w:rFonts w:ascii="Times New Roman" w:cs="Times New Roman" w:eastAsia="Times New Roman" w:hAnsi="Times New Roman"/>
          <w:sz w:val="18"/>
          <w:szCs w:val="18"/>
          <w:color w:val="auto"/>
        </w:rPr>
      </w:pPr>
    </w:p>
    <w:p>
      <w:pPr>
        <w:ind w:left="440" w:right="160" w:hanging="328"/>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in the fliGHt Trial, an open-label trial evaluating TransCon hGH in pediatric subjects with GHD who switched from daily growth hormone therapy. As a result, more than 300 subjects have now enrolled in the phase 3 TransCon hGH program, which includes the heiGHt, fliGHt and enliGHten Trials.</w:t>
      </w:r>
    </w:p>
    <w:p>
      <w:pPr>
        <w:spacing w:after="0" w:line="81" w:lineRule="exact"/>
        <w:rPr>
          <w:rFonts w:ascii="Times New Roman" w:cs="Times New Roman" w:eastAsia="Times New Roman" w:hAnsi="Times New Roman"/>
          <w:sz w:val="18"/>
          <w:szCs w:val="18"/>
          <w:color w:val="auto"/>
        </w:rPr>
      </w:pPr>
    </w:p>
    <w:p>
      <w:pPr>
        <w:jc w:val="both"/>
        <w:ind w:left="440" w:right="340" w:hanging="328"/>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planning for initiation of a phase 2 trial in the first quarter of 2019 to evaluate TransCon PTH, a long-acting prodrug of parathyroid hormone (PTH), in subjects with hypoparathyroidism. Final results of a phase 1 trial reinforced the potential of TransCon PTH to replace and restore PTH to physiologic levels for 24 hours per day.</w:t>
      </w:r>
    </w:p>
    <w:p>
      <w:pPr>
        <w:sectPr>
          <w:pgSz w:w="11900" w:h="16838" w:orient="portrait"/>
          <w:cols w:equalWidth="0" w:num="1">
            <w:col w:w="11020"/>
          </w:cols>
          <w:pgMar w:left="440" w:top="117" w:right="439" w:bottom="1440" w:gutter="0" w:footer="0" w:header="0"/>
        </w:sectPr>
      </w:pPr>
    </w:p>
    <w:bookmarkStart w:id="21" w:name="page22"/>
    <w:bookmarkEnd w:id="21"/>
    <w:p>
      <w:pPr>
        <w:ind w:left="440" w:right="200" w:hanging="328"/>
        <w:spacing w:after="0" w:line="261"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Formed VISEN Pharmaceuticals with an investor syndicate led by Vivo Capital with participation from Sofinnova Ventures, to develop, manufacture and commercialize TransCon endocrinology rare disease therapies in Greater China, which includes mainland China, Hong Kong, Macau and Taiwan. This 50/50 partnership expands the global reach of TransCon technology and establishes a presence in the region with collaborators who have significant experience and knowledge of the biopharmaceutical opportunity in China.</w:t>
      </w:r>
    </w:p>
    <w:p>
      <w:pPr>
        <w:spacing w:after="0" w:line="85" w:lineRule="exact"/>
        <w:rPr>
          <w:rFonts w:ascii="Times New Roman" w:cs="Times New Roman" w:eastAsia="Times New Roman" w:hAnsi="Times New Roman"/>
          <w:sz w:val="18"/>
          <w:szCs w:val="18"/>
          <w:color w:val="auto"/>
        </w:rPr>
      </w:pPr>
    </w:p>
    <w:p>
      <w:pPr>
        <w:ind w:left="440" w:right="220" w:hanging="328"/>
        <w:spacing w:after="0" w:line="282"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Lars Holtug, M.Sc., former partner and chairman of PricewaterhouseCoopers Statsautoriseret Revisionspartnerselskab, to the Ascendis Board of Directors.</w:t>
      </w:r>
    </w:p>
    <w:p>
      <w:pPr>
        <w:spacing w:after="0" w:line="67" w:lineRule="exact"/>
        <w:rPr>
          <w:rFonts w:ascii="Times New Roman" w:cs="Times New Roman" w:eastAsia="Times New Roman" w:hAnsi="Times New Roman"/>
          <w:sz w:val="18"/>
          <w:szCs w:val="18"/>
          <w:color w:val="auto"/>
        </w:rPr>
      </w:pPr>
    </w:p>
    <w:p>
      <w:pPr>
        <w:ind w:left="440" w:hanging="328"/>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quarter with cash and cash equivalents of €310.3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2018 Financial Results</w:t>
      </w:r>
    </w:p>
    <w:p>
      <w:pPr>
        <w:spacing w:after="0" w:line="121"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For the third quarter, Ascendis Pharma reported a net loss of €34.0 million, or €0.81 per share (basic and diluted) compared to a net loss of €33.9 million, or €1.04 per share (basic and diluted) for the same period in 2017.</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(R&amp;D) costs for the third quarter were €31.5 million compared to €29.1 million in the same quarter of 2017. Increased R&amp;D costs in the 2018 quarter primarily reflect costs to prepare for the manufacture of validation batches for TransCon Growth Hormone; costs of the ongoing clinical trials for this product candidate; and the ongoing clinical and project costs for TransCon PTH and TransCon CNP.</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third quarter of 2018 were €6.8 million compared to €2.8 million in the same quarter of 2017. The increase is primarily due to an increase in personnel costs and general costs arising from additional administrative personnel and initial costs of preparing for a commercial organization.</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September 30, 2018, the company had cash and cash equivalents of €310.3 million compared to €352.6 million as of June 30, 2018. As of September 30, 2018, Ascendis had 42,032,522 ordinary shares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Ascendis Pharma will host a conference call and webcast today at 4:30 p.m. Eastern Time (ET) to discuss its third quarter 2018 financial results. Details include: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Wednesday, November 28, 2018</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4:30 p.m. ET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Dial In (U.S.)</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844-290-3904</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Dial In (International)</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574-990-1036</w:t>
            </w: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Access Code</w:t>
            </w: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4371358</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A live audio webcast of the event will be available in the Investors and News section of the Ascendis Pharma website at </w:t>
      </w:r>
      <w:r>
        <w:rPr>
          <w:rFonts w:ascii="Times New Roman" w:cs="Times New Roman" w:eastAsia="Times New Roman" w:hAnsi="Times New Roman"/>
          <w:sz w:val="18"/>
          <w:szCs w:val="18"/>
          <w:u w:val="single" w:color="auto"/>
          <w:color w:val="auto"/>
        </w:rPr>
        <w:t>www.ascendispharma.com</w:t>
      </w:r>
      <w:r>
        <w:rPr>
          <w:rFonts w:ascii="Times New Roman" w:cs="Times New Roman" w:eastAsia="Times New Roman" w:hAnsi="Times New Roman"/>
          <w:sz w:val="18"/>
          <w:szCs w:val="18"/>
          <w:color w:val="auto"/>
        </w:rPr>
        <w:t>. A webcast replay will also be available on this website shortly after conclusion of the event for 30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Ascendis Pharma A/S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to create new and potentially best-in-class therapies.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2" w:name="page23"/>
    <w:bookmarkEnd w:id="22"/>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Ascendis Pharma currently has a pipeline of three independent rare disease endocrinology product candidates in clinical development. Additionally, Ascendis Pharma has multi-product collaborations with Sanofi in diabetes and Genentech in the field of ophthalmology and continues to expand into additional therapeutic areas for both internal and external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is headquartered in Copenhagen, Denmark, with offices in Heidelberg, Germany and Palo Alto,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www.ascendispharma.com.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facts, included in this press release regarding our future operations, plans and objectives of management are forward-looking statements. Examples of such statements include, but are not limited to, statements relating to (i) our plans to release top-line data for our phase 3 heiGHt trial in the first quarter of 2019, (ii) our plans to initiate our phase 2 TransCon PTH trial in patients with hypoparathyroidism in early 2019, (iii) our ability to apply our platform technology to build a leading, fully integrated biopharma company, (iv) our expectations regarding our ability to create potentially best-in-class therapies and (v) our product pipeline. We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we make, including the following: unforeseen safety or efficacy results in our TransCon hGH, TransCon PTH and TransCon CNP or other development programs; unforeseen expenses related to the development of TransCon hGH, TransCon PTH and TransCon CNP or other development programs, general and administrative expenses, other research and development expenses and our business generally; delays in the development of TransCon hGH, TransCon PTH and TransCon CNP or other development programs related to manufacturing, regulatory requirements, speed of patient recruitment or other unforeseen delays; dependence on third party manufacturers to supply study drug for planned clinical studies; and our ability to obtain additional funding, if needed, to support our business activities. For a further description of the risks and uncertainties that could cause actual results to differ from those expressed in these forward-looking statements, as well as risks relating to our business in general, see our current and future reports filed with, or submitted to, the U.S. Securities and Exchange Commission (SEC), including our Annual Report on Form 20-F for the year ended December 31, 2017, which we filed with the SEC on March 28, 2018. Forward-looking statements do not reflect the potential impact of any future in-licensing, collaborations, acquisitions, mergers, dispositions, joint ventures, or investments we may enter into or make. We do not assume any obligation to update any forward-looking statements,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Ascendis, Ascendis Pharma, the Ascendis Pharma logo, the company logo and TransCon are trademarks owned by the Ascendis Pharma group.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November 2018 Ascendis Pharma A/S.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FINANCIAL TABLES TO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Profit or Loss and Other Comprehensive Income /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EUR’000s,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21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1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(31,511)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(29,067)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(102,286)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(6,796)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(16,684)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(9,396)</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(118,904)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(34,067)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(34,117)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(98,425)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Tax on profit / (loss) for the period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 for the period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(33,967)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(33,877)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(98,119)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(89,722)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subsequently to profit or loss: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period, net of tax</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 for the period, net of tax</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(33,976)</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(98,135)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for the period attributable to owners of the Company</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(33,877)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(89,722)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 (loss) for the period attributable to owners of the Company</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(33,976)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(33,882)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(98,135)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(89,681)</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 (loss) per share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for calculation (basic and diluted)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41,888,908</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32,607,497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40,757,686</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8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EUR’000s)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1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7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0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6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310,333</w:t>
            </w:r>
          </w:p>
        </w:tc>
        <w:tc>
          <w:tcPr>
            <w:tcW w:w="6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326,985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204,634</w:t>
            </w:r>
          </w:p>
        </w:tc>
        <w:tc>
          <w:tcPr>
            <w:tcW w:w="60" w:type="dxa"/>
            <w:vAlign w:val="bottom"/>
            <w:shd w:val="clear" w:color="auto" w:fill="CCEEFF"/>
          </w:tcPr>
          <w:p>
            <w:pPr>
              <w:spacing w:after="0"/>
              <w:rPr>
                <w:sz w:val="18"/>
                <w:szCs w:val="18"/>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335,234</w:t>
            </w:r>
          </w:p>
        </w:tc>
        <w:tc>
          <w:tcPr>
            <w:tcW w:w="6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equity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298,560</w:t>
            </w:r>
          </w:p>
        </w:tc>
        <w:tc>
          <w:tcPr>
            <w:tcW w:w="6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182,244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304,205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187,211</w:t>
            </w:r>
          </w:p>
        </w:tc>
        <w:tc>
          <w:tcPr>
            <w:tcW w:w="60" w:type="dxa"/>
            <w:vAlign w:val="bottom"/>
            <w:shd w:val="clear" w:color="auto" w:fill="CCEEFF"/>
          </w:tcPr>
          <w:p>
            <w:pPr>
              <w:spacing w:after="0"/>
              <w:rPr>
                <w:sz w:val="18"/>
                <w:szCs w:val="18"/>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23,768</w:t>
            </w:r>
          </w:p>
        </w:tc>
        <w:tc>
          <w:tcPr>
            <w:tcW w:w="60" w:type="dxa"/>
            <w:vAlign w:val="bottom"/>
            <w:shd w:val="clear" w:color="auto" w:fill="CCEEFF"/>
          </w:tcPr>
          <w:p>
            <w:pPr>
              <w:spacing w:after="0"/>
              <w:rPr>
                <w:sz w:val="18"/>
                <w:szCs w:val="18"/>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335,234</w:t>
            </w:r>
          </w:p>
        </w:tc>
        <w:tc>
          <w:tcPr>
            <w:tcW w:w="6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Internal contact:</w:t>
            </w:r>
          </w:p>
        </w:tc>
        <w:tc>
          <w:tcPr>
            <w:tcW w:w="15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r>
      <w:tr>
        <w:trPr>
          <w:trHeight w:val="218"/>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T. Smith</w:t>
            </w:r>
          </w:p>
        </w:tc>
        <w:tc>
          <w:tcPr>
            <w:tcW w:w="15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Ami Knoefler</w:t>
            </w:r>
          </w:p>
        </w:tc>
        <w:tc>
          <w:tcPr>
            <w:tcW w:w="2560" w:type="dxa"/>
            <w:vAlign w:val="bottom"/>
            <w:gridSpan w:val="2"/>
          </w:tcPr>
          <w:p>
            <w:pPr>
              <w:spacing w:after="0"/>
              <w:rPr>
                <w:sz w:val="18"/>
                <w:szCs w:val="18"/>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Patti Bank</w:t>
            </w:r>
          </w:p>
        </w:tc>
        <w:tc>
          <w:tcPr>
            <w:tcW w:w="700" w:type="dxa"/>
            <w:vAlign w:val="bottom"/>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74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Head of Global Communications</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Westwicke Partners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(650) 352-8389</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(650) 739-9952</w:t>
            </w: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(415) 513-1284</w:t>
            </w:r>
          </w:p>
        </w:tc>
        <w:tc>
          <w:tcPr>
            <w:tcW w:w="700" w:type="dxa"/>
            <w:vAlign w:val="bottom"/>
          </w:tcPr>
          <w:p>
            <w:pPr>
              <w:spacing w:after="0"/>
              <w:rPr>
                <w:sz w:val="18"/>
                <w:szCs w:val="18"/>
                <w:color w:val="auto"/>
              </w:rPr>
            </w:pPr>
          </w:p>
        </w:tc>
      </w:tr>
      <w:tr>
        <w:trPr>
          <w:trHeight w:val="194"/>
        </w:trPr>
        <w:tc>
          <w:tcPr>
            <w:tcW w:w="28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ir@ascendispharma.com</w:t>
            </w:r>
          </w:p>
        </w:tc>
        <w:tc>
          <w:tcPr>
            <w:tcW w:w="4740" w:type="dxa"/>
            <w:vAlign w:val="bottom"/>
            <w:gridSpan w:val="4"/>
          </w:tcPr>
          <w:p>
            <w:pPr>
              <w:ind w:left="1020"/>
              <w:spacing w:after="0" w:line="194" w:lineRule="exact"/>
              <w:rPr>
                <w:sz w:val="20"/>
                <w:szCs w:val="20"/>
                <w:color w:val="auto"/>
              </w:rPr>
            </w:pPr>
            <w:r>
              <w:rPr>
                <w:rFonts w:ascii="Times New Roman" w:cs="Times New Roman" w:eastAsia="Times New Roman" w:hAnsi="Times New Roman"/>
                <w:sz w:val="18"/>
                <w:szCs w:val="18"/>
                <w:color w:val="auto"/>
              </w:rPr>
              <w:t>ack@ascendispharma.com</w:t>
            </w: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patti.bank@westwicke.com</w:t>
            </w:r>
          </w:p>
        </w:tc>
      </w:tr>
      <w:tr>
        <w:trPr>
          <w:trHeight w:val="453"/>
        </w:trPr>
        <w:tc>
          <w:tcPr>
            <w:tcW w:w="1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2019-12-08T10:46:00Z</dcterms:created>
  <dcterms:modified xsi:type="dcterms:W3CDTF">2019-12-08T10:46:00Z</dcterms:modified>
</cp:coreProperties>
</file>