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61"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August,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333-228576, 333-203040, 333-210810, 333-211512, 333-213412, 333-214843 and 333-216883)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June 30, 2019.</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00" w:type="dxa"/>
            <w:vAlign w:val="bottom"/>
            <w:gridSpan w:val="4"/>
          </w:tcPr>
          <w:p>
            <w:pPr>
              <w:ind w:left="1920"/>
              <w:spacing w:after="0"/>
              <w:rPr>
                <w:sz w:val="20"/>
                <w:szCs w:val="20"/>
                <w:color w:val="auto"/>
              </w:rPr>
            </w:pPr>
            <w:r>
              <w:rPr>
                <w:rFonts w:ascii="Arial" w:cs="Arial" w:eastAsia="Arial" w:hAnsi="Arial"/>
                <w:sz w:val="14"/>
                <w:szCs w:val="14"/>
                <w:color w:val="auto"/>
              </w:rPr>
              <w:t>Description</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7"/>
        </w:trPr>
        <w:tc>
          <w:tcPr>
            <w:tcW w:w="740" w:type="dxa"/>
            <w:vAlign w:val="bottom"/>
            <w:gridSpan w:val="2"/>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4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Unaudited Condensed Consolidated Interim Financial Statements.</w:t>
            </w:r>
          </w:p>
        </w:tc>
        <w:tc>
          <w:tcPr>
            <w:tcW w:w="1740" w:type="dxa"/>
            <w:vAlign w:val="bottom"/>
            <w:gridSpan w:val="2"/>
          </w:tcPr>
          <w:p>
            <w:pPr>
              <w:spacing w:after="0"/>
              <w:rPr>
                <w:sz w:val="24"/>
                <w:szCs w:val="24"/>
                <w:color w:val="auto"/>
              </w:rPr>
            </w:pP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6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r>
      <w:tr>
        <w:trPr>
          <w:trHeight w:val="304"/>
        </w:trPr>
        <w:tc>
          <w:tcPr>
            <w:tcW w:w="740" w:type="dxa"/>
            <w:vAlign w:val="bottom"/>
            <w:gridSpan w:val="2"/>
          </w:tcPr>
          <w:p>
            <w:pPr>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4"/>
                <w:szCs w:val="24"/>
                <w:color w:val="auto"/>
              </w:rPr>
            </w:pPr>
          </w:p>
        </w:tc>
        <w:tc>
          <w:tcPr>
            <w:tcW w:w="27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6"/>
              </w:rPr>
              <w:t>Press Release dated August 28, 2019.</w:t>
            </w:r>
          </w:p>
        </w:tc>
        <w:tc>
          <w:tcPr>
            <w:tcW w:w="3800" w:type="dxa"/>
            <w:vAlign w:val="bottom"/>
            <w:gridSpan w:val="4"/>
          </w:tcPr>
          <w:p>
            <w:pPr>
              <w:spacing w:after="0"/>
              <w:rPr>
                <w:sz w:val="24"/>
                <w:szCs w:val="24"/>
                <w:color w:val="auto"/>
              </w:rPr>
            </w:pPr>
          </w:p>
        </w:tc>
      </w:tr>
      <w:tr>
        <w:trPr>
          <w:trHeight w:val="345"/>
        </w:trPr>
        <w:tc>
          <w:tcPr>
            <w:tcW w:w="7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101.SCH</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101.IAB</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w w:val="99"/>
              </w:rPr>
              <w:t>101.PRE</w:t>
            </w:r>
          </w:p>
        </w:tc>
        <w:tc>
          <w:tcPr>
            <w:tcW w:w="380" w:type="dxa"/>
            <w:vAlign w:val="bottom"/>
          </w:tcPr>
          <w:p>
            <w:pPr>
              <w:spacing w:after="0"/>
              <w:rPr>
                <w:sz w:val="24"/>
                <w:szCs w:val="24"/>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0880"/>
          </w:cols>
          <w:pgMar w:left="440" w:top="270" w:right="5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August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Wolff Jensen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Senior Vice President, Chief Legal Officer</w:t>
      </w:r>
    </w:p>
    <w:p>
      <w:pPr>
        <w:sectPr>
          <w:pgSz w:w="11900" w:h="16838" w:orient="portrait"/>
          <w:cols w:equalWidth="0" w:num="1">
            <w:col w:w="10960"/>
          </w:cols>
          <w:pgMar w:left="440" w:top="270"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Exhibit 99.1</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ASCENDIS PHARMA A/S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974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20" w:type="dxa"/>
            <w:vAlign w:val="bottom"/>
            <w:gridSpan w:val="7"/>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Interim Statements of Profit or Loss and Other Comprehensive Income / (Loss) for the Three and Six</w:t>
              </w:r>
            </w:hyperlink>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9920" w:type="dxa"/>
            <w:vAlign w:val="bottom"/>
            <w:tcBorders>
              <w:bottom w:val="single" w:sz="8" w:color="0000EE"/>
            </w:tcBorders>
            <w:gridSpan w:val="7"/>
            <w:vMerge w:val="continue"/>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June 30, 2019 and 2018</w:t>
              </w:r>
            </w:hyperlink>
          </w:p>
        </w:tc>
        <w:tc>
          <w:tcPr>
            <w:tcW w:w="6920" w:type="dxa"/>
            <w:vAlign w:val="bottom"/>
            <w:gridSpan w:val="5"/>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Interim Statements of Financial Position as of June 30, 2019 and December 31, 2018</w:t>
              </w:r>
            </w:hyperlink>
          </w:p>
        </w:tc>
        <w:tc>
          <w:tcPr>
            <w:tcW w:w="116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2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Interim Statements of Changes in Equity at June 30, 2019 and 2018</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2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Interim Cash Flow Statements for the Six Months Ended June 30, 2019 and 2018</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the Unaudited Condensed Consolidated Interim Financial Statements</w:t>
              </w:r>
            </w:hyperlink>
          </w:p>
        </w:tc>
        <w:tc>
          <w:tcPr>
            <w:tcW w:w="2840" w:type="dxa"/>
            <w:vAlign w:val="bottom"/>
            <w:tcBorders>
              <w:top w:val="single" w:sz="8" w:color="0000EE"/>
            </w:tcBorders>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22"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Consolidated Interim Statements of Profit or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Other Comprehensive Income / (Loss) for the Three and Six Months Ended June 30</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87"/>
              </w:rPr>
              <w:t>Notes</w:t>
            </w:r>
          </w:p>
        </w:tc>
        <w:tc>
          <w:tcPr>
            <w:tcW w:w="2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w:t>
            </w: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12"/>
                <w:szCs w:val="12"/>
                <w:color w:val="auto"/>
              </w:rPr>
            </w:pPr>
          </w:p>
        </w:tc>
        <w:tc>
          <w:tcPr>
            <w:tcW w:w="194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(43,826)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(40,235)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(95,085)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(21,396)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(51,575)</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(45,443)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(107,856)</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Finance income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22,573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(58,969)</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(22,876)</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(112,676)</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(22,777)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(112,541)</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2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(59,498)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(22,775)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(112,576)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(58,904)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(22,777)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(112,541)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comprehensive income / (loss) for the period attributable to owners of the</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(58,498)</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(22,775)</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(112,576)</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47,190,717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41,650,907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45,291,688</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40,182,701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right="100" w:hanging="436"/>
        <w:spacing w:after="0" w:line="312"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total of 5,199,177 warrants outstanding as of June 30, 2019 can potentially dilute earnings per share in the future, but have not been included in the calculation of diluted earnings per share because they are antidilutive for the periods presented. Similarly, a total of 4,479,691 warrants outstanding as of June 30, 2018 are also considered antidilutive for the periods presented and have not been included in the calculation.</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3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0" w:type="dxa"/>
            <w:vAlign w:val="bottom"/>
            <w:gridSpan w:val="2"/>
            <w:vMerge w:val="restart"/>
          </w:tcPr>
          <w:p>
            <w:pPr>
              <w:ind w:left="4780"/>
              <w:spacing w:after="0"/>
              <w:rPr>
                <w:sz w:val="20"/>
                <w:szCs w:val="20"/>
                <w:color w:val="auto"/>
              </w:rPr>
            </w:pPr>
            <w:r>
              <w:rPr>
                <w:rFonts w:ascii="Arial" w:cs="Arial" w:eastAsia="Arial" w:hAnsi="Arial"/>
                <w:sz w:val="14"/>
                <w:szCs w:val="14"/>
                <w:b w:val="1"/>
                <w:bCs w:val="1"/>
                <w:color w:val="auto"/>
              </w:rPr>
              <w:t>Notes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0" w:type="dxa"/>
            <w:vAlign w:val="bottom"/>
            <w:gridSpan w:val="2"/>
            <w:vMerge w:val="continue"/>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w w:val="96"/>
              </w:rPr>
              <w:t>(EUR’000)</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400" w:type="dxa"/>
            <w:vAlign w:val="bottom"/>
            <w:gridSpan w:val="2"/>
          </w:tcPr>
          <w:p>
            <w:pPr>
              <w:jc w:val="center"/>
              <w:ind w:left="4473"/>
              <w:spacing w:after="0"/>
              <w:rPr>
                <w:sz w:val="20"/>
                <w:szCs w:val="20"/>
                <w:color w:val="auto"/>
              </w:rPr>
            </w:pPr>
            <w:r>
              <w:rPr>
                <w:rFonts w:ascii="Arial" w:cs="Arial" w:eastAsia="Arial" w:hAnsi="Arial"/>
                <w:sz w:val="18"/>
                <w:szCs w:val="18"/>
                <w:b w:val="1"/>
                <w:bCs w:val="1"/>
                <w:color w:val="auto"/>
                <w:w w:val="79"/>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42,537</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Deposits</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64,327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receivables</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690,355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702,830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767,157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Share capital</w:t>
            </w:r>
          </w:p>
        </w:tc>
        <w:tc>
          <w:tcPr>
            <w:tcW w:w="5400" w:type="dxa"/>
            <w:vAlign w:val="bottom"/>
            <w:gridSpan w:val="2"/>
          </w:tcPr>
          <w:p>
            <w:pPr>
              <w:jc w:val="center"/>
              <w:ind w:left="4473"/>
              <w:spacing w:after="0"/>
              <w:rPr>
                <w:sz w:val="20"/>
                <w:szCs w:val="20"/>
                <w:color w:val="auto"/>
              </w:rPr>
            </w:pPr>
            <w:r>
              <w:rPr>
                <w:rFonts w:ascii="Arial" w:cs="Arial" w:eastAsia="Arial" w:hAnsi="Arial"/>
                <w:sz w:val="18"/>
                <w:szCs w:val="18"/>
                <w:b w:val="1"/>
                <w:bCs w:val="1"/>
                <w:color w:val="auto"/>
                <w:w w:val="79"/>
              </w:rPr>
              <w:t>8</w:t>
            </w:r>
          </w:p>
        </w:tc>
        <w:tc>
          <w:tcPr>
            <w:tcW w:w="640" w:type="dxa"/>
            <w:vAlign w:val="bottom"/>
          </w:tcPr>
          <w:p>
            <w:pPr>
              <w:jc w:val="right"/>
              <w:spacing w:after="0"/>
              <w:rPr>
                <w:sz w:val="20"/>
                <w:szCs w:val="20"/>
                <w:color w:val="auto"/>
              </w:rPr>
            </w:pPr>
            <w:r>
              <w:rPr>
                <w:rFonts w:ascii="Arial" w:cs="Arial" w:eastAsia="Arial" w:hAnsi="Arial"/>
                <w:sz w:val="18"/>
                <w:szCs w:val="18"/>
                <w:color w:val="auto"/>
              </w:rPr>
              <w:t>6,384</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668,691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675,075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 liabilities</w:t>
            </w:r>
          </w:p>
        </w:tc>
        <w:tc>
          <w:tcPr>
            <w:tcW w:w="5400" w:type="dxa"/>
            <w:vAlign w:val="bottom"/>
            <w:gridSpan w:val="2"/>
          </w:tcPr>
          <w:p>
            <w:pPr>
              <w:jc w:val="center"/>
              <w:ind w:left="4473"/>
              <w:spacing w:after="0"/>
              <w:rPr>
                <w:sz w:val="20"/>
                <w:szCs w:val="20"/>
                <w:color w:val="auto"/>
              </w:rPr>
            </w:pPr>
            <w:r>
              <w:rPr>
                <w:rFonts w:ascii="Arial" w:cs="Arial" w:eastAsia="Arial" w:hAnsi="Arial"/>
                <w:sz w:val="18"/>
                <w:szCs w:val="18"/>
                <w:b w:val="1"/>
                <w:bCs w:val="1"/>
                <w:color w:val="auto"/>
                <w:w w:val="93"/>
              </w:rPr>
              <w:t>2, 7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400" w:type="dxa"/>
            <w:vAlign w:val="bottom"/>
            <w:gridSpan w:val="2"/>
            <w:shd w:val="clear" w:color="auto" w:fill="CCEEFF"/>
          </w:tcPr>
          <w:p>
            <w:pPr>
              <w:jc w:val="center"/>
              <w:ind w:left="4473"/>
              <w:spacing w:after="0"/>
              <w:rPr>
                <w:sz w:val="20"/>
                <w:szCs w:val="20"/>
                <w:color w:val="auto"/>
              </w:rPr>
            </w:pPr>
            <w:r>
              <w:rPr>
                <w:rFonts w:ascii="Arial" w:cs="Arial" w:eastAsia="Arial" w:hAnsi="Arial"/>
                <w:sz w:val="18"/>
                <w:szCs w:val="18"/>
                <w:b w:val="1"/>
                <w:bCs w:val="1"/>
                <w:color w:val="auto"/>
                <w:w w:val="93"/>
              </w:rPr>
              <w:t>2, 7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Contract liabilities</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2,156</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payables</w:t>
            </w:r>
          </w:p>
        </w:tc>
        <w:tc>
          <w:tcPr>
            <w:tcW w:w="4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32,337</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60,621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4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767,157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780" w:type="dxa"/>
            <w:vAlign w:val="bottom"/>
            <w:vMerge w:val="restart"/>
          </w:tcPr>
          <w:p>
            <w:pPr>
              <w:jc w:val="right"/>
              <w:ind w:right="2953"/>
              <w:spacing w:after="0"/>
              <w:rPr>
                <w:sz w:val="20"/>
                <w:szCs w:val="20"/>
                <w:color w:val="auto"/>
              </w:rPr>
            </w:pPr>
            <w:r>
              <w:rPr>
                <w:rFonts w:ascii="Arial" w:cs="Arial" w:eastAsia="Arial" w:hAnsi="Arial"/>
                <w:sz w:val="18"/>
                <w:szCs w:val="18"/>
                <w:color w:val="auto"/>
              </w:rPr>
              <w:t>3</w:t>
            </w: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Consolidated Interim Statements of Changes in Equity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Distributable Equity</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right="188"/>
              <w:spacing w:after="0" w:line="119" w:lineRule="exact"/>
              <w:rPr>
                <w:sz w:val="20"/>
                <w:szCs w:val="20"/>
                <w:color w:val="auto"/>
              </w:rPr>
            </w:pPr>
            <w:r>
              <w:rPr>
                <w:rFonts w:ascii="Arial" w:cs="Arial" w:eastAsia="Arial" w:hAnsi="Arial"/>
                <w:sz w:val="13"/>
                <w:szCs w:val="13"/>
                <w:b w:val="1"/>
                <w:bCs w:val="1"/>
                <w:color w:val="auto"/>
              </w:rPr>
              <w:t>Foreign</w:t>
            </w:r>
          </w:p>
        </w:tc>
        <w:tc>
          <w:tcPr>
            <w:tcW w:w="9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7"/>
              </w:rPr>
              <w:t>Share-based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8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Currency</w:t>
            </w:r>
          </w:p>
        </w:tc>
        <w:tc>
          <w:tcPr>
            <w:tcW w:w="920" w:type="dxa"/>
            <w:vAlign w:val="bottom"/>
            <w:gridSpan w:val="4"/>
            <w:vMerge w:val="continue"/>
          </w:tcPr>
          <w:p>
            <w:pPr>
              <w:spacing w:after="0"/>
              <w:rPr>
                <w:sz w:val="12"/>
                <w:szCs w:val="12"/>
                <w:color w:val="auto"/>
              </w:rPr>
            </w:pPr>
          </w:p>
        </w:tc>
        <w:tc>
          <w:tcPr>
            <w:tcW w:w="13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2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Payment</w:t>
            </w: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Reserve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7"/>
          </w:tcPr>
          <w:p>
            <w:pPr>
              <w:jc w:val="right"/>
              <w:ind w:right="480"/>
              <w:spacing w:after="0" w:line="142" w:lineRule="exact"/>
              <w:rPr>
                <w:sz w:val="20"/>
                <w:szCs w:val="20"/>
                <w:color w:val="auto"/>
              </w:rPr>
            </w:pPr>
            <w:r>
              <w:rPr>
                <w:rFonts w:ascii="Arial" w:cs="Arial" w:eastAsia="Arial" w:hAnsi="Arial"/>
                <w:sz w:val="14"/>
                <w:szCs w:val="14"/>
                <w:b w:val="1"/>
                <w:bCs w:val="1"/>
                <w:color w:val="auto"/>
              </w:rPr>
              <w:t>(EUR’000)</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625,250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42,445</w:t>
            </w: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(393,307)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(112,541)</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(112,541)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9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(112,541)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(112,576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Capital increase</w:t>
            </w:r>
          </w:p>
        </w:tc>
        <w:tc>
          <w:tcPr>
            <w:tcW w:w="1380" w:type="dxa"/>
            <w:vAlign w:val="bottom"/>
            <w:gridSpan w:val="3"/>
          </w:tcPr>
          <w:p>
            <w:pPr>
              <w:ind w:left="1100"/>
              <w:spacing w:after="0"/>
              <w:rPr>
                <w:sz w:val="20"/>
                <w:szCs w:val="20"/>
                <w:color w:val="auto"/>
              </w:rPr>
            </w:pPr>
            <w:r>
              <w:rPr>
                <w:rFonts w:ascii="Arial" w:cs="Arial" w:eastAsia="Arial" w:hAnsi="Arial"/>
                <w:sz w:val="18"/>
                <w:szCs w:val="18"/>
                <w:color w:val="auto"/>
                <w:w w:val="86"/>
              </w:rPr>
              <w:t>725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520,447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521,172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Equity at June 30, 2019</w:t>
            </w:r>
          </w:p>
        </w:tc>
        <w:tc>
          <w:tcPr>
            <w:tcW w:w="9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6,384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1,113,996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60,575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(505,848)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675,075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Distributable Equity</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center"/>
              <w:ind w:right="108"/>
              <w:spacing w:after="0" w:line="119" w:lineRule="exact"/>
              <w:rPr>
                <w:sz w:val="20"/>
                <w:szCs w:val="20"/>
                <w:color w:val="auto"/>
              </w:rPr>
            </w:pPr>
            <w:r>
              <w:rPr>
                <w:rFonts w:ascii="Arial" w:cs="Arial" w:eastAsia="Arial" w:hAnsi="Arial"/>
                <w:sz w:val="13"/>
                <w:szCs w:val="13"/>
                <w:b w:val="1"/>
                <w:bCs w:val="1"/>
                <w:color w:val="auto"/>
              </w:rPr>
              <w:t>Foreign</w:t>
            </w:r>
          </w:p>
        </w:tc>
        <w:tc>
          <w:tcPr>
            <w:tcW w:w="100" w:type="dxa"/>
            <w:vAlign w:val="bottom"/>
          </w:tcPr>
          <w:p>
            <w:pPr>
              <w:spacing w:after="0"/>
              <w:rPr>
                <w:sz w:val="10"/>
                <w:szCs w:val="10"/>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2"/>
              </w:rPr>
              <w:t>Share-based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Payment</w:t>
            </w:r>
          </w:p>
        </w:tc>
        <w:tc>
          <w:tcPr>
            <w:tcW w:w="2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gridSpan w:val="4"/>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Reserve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(EUR’000)</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2018</w:t>
            </w:r>
          </w:p>
        </w:tc>
        <w:tc>
          <w:tcPr>
            <w:tcW w:w="1560" w:type="dxa"/>
            <w:vAlign w:val="bottom"/>
            <w:gridSpan w:val="4"/>
            <w:shd w:val="clear" w:color="auto" w:fill="CCEEFF"/>
          </w:tcPr>
          <w:p>
            <w:pPr>
              <w:ind w:left="1140"/>
              <w:spacing w:after="0"/>
              <w:rPr>
                <w:sz w:val="20"/>
                <w:szCs w:val="20"/>
                <w:color w:val="auto"/>
              </w:rPr>
            </w:pPr>
            <w:r>
              <w:rPr>
                <w:rFonts w:ascii="Arial" w:cs="Arial" w:eastAsia="Arial" w:hAnsi="Arial"/>
                <w:sz w:val="18"/>
                <w:szCs w:val="18"/>
                <w:b w:val="1"/>
                <w:bCs w:val="1"/>
                <w:color w:val="auto"/>
                <w:w w:val="88"/>
              </w:rPr>
              <w:t>4,967</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422,675</w:t>
            </w: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22,793</w:t>
            </w:r>
          </w:p>
        </w:tc>
        <w:tc>
          <w:tcPr>
            <w:tcW w:w="13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(263,210)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(64,152)</w:t>
            </w: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(64,152)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6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(64,152)</w:t>
            </w:r>
          </w:p>
        </w:tc>
        <w:tc>
          <w:tcPr>
            <w:tcW w:w="2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(64,159)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Capital increase</w:t>
            </w:r>
          </w:p>
        </w:tc>
        <w:tc>
          <w:tcPr>
            <w:tcW w:w="1560" w:type="dxa"/>
            <w:vAlign w:val="bottom"/>
            <w:gridSpan w:val="4"/>
          </w:tcPr>
          <w:p>
            <w:pPr>
              <w:ind w:left="1280"/>
              <w:spacing w:after="0"/>
              <w:rPr>
                <w:sz w:val="20"/>
                <w:szCs w:val="20"/>
                <w:color w:val="auto"/>
              </w:rPr>
            </w:pPr>
            <w:r>
              <w:rPr>
                <w:rFonts w:ascii="Arial" w:cs="Arial" w:eastAsia="Arial" w:hAnsi="Arial"/>
                <w:sz w:val="18"/>
                <w:szCs w:val="18"/>
                <w:color w:val="auto"/>
                <w:w w:val="86"/>
              </w:rPr>
              <w:t>652</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212,738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Equity at June 30, 2018</w:t>
            </w:r>
          </w:p>
        </w:tc>
        <w:tc>
          <w:tcPr>
            <w:tcW w:w="110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5,619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622,295</w:t>
            </w: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31,694</w:t>
            </w:r>
          </w:p>
        </w:tc>
        <w:tc>
          <w:tcPr>
            <w:tcW w:w="26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(327,362)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332,225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80" w:type="dxa"/>
            <w:vAlign w:val="bottom"/>
            <w:gridSpan w:val="3"/>
          </w:tcPr>
          <w:p>
            <w:pPr>
              <w:jc w:val="right"/>
              <w:ind w:right="9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Condensed Consolidated Interim Cash Flow Statements for the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Six Months Ended June 30</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gridSpan w:val="3"/>
          </w:tcPr>
          <w:p>
            <w:pPr>
              <w:ind w:left="8620"/>
              <w:spacing w:after="0"/>
              <w:rPr>
                <w:sz w:val="20"/>
                <w:szCs w:val="20"/>
                <w:color w:val="auto"/>
              </w:rPr>
            </w:pPr>
            <w:r>
              <w:rPr>
                <w:rFonts w:ascii="Arial" w:cs="Arial" w:eastAsia="Arial" w:hAnsi="Arial"/>
                <w:sz w:val="14"/>
                <w:szCs w:val="14"/>
                <w:b w:val="1"/>
                <w:bCs w:val="1"/>
                <w:color w:val="auto"/>
              </w:rPr>
              <w:t>Notes</w:t>
            </w: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Borders>
              <w:top w:val="single" w:sz="8" w:color="auto"/>
            </w:tcBorders>
            <w:gridSpan w:val="3"/>
          </w:tcPr>
          <w:p>
            <w:pPr>
              <w:jc w:val="right"/>
              <w:ind w:right="411"/>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(112,541)</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non-cash consideration relating to revenue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Reversal of share of profit/(loss) of associate</w:t>
            </w:r>
          </w:p>
        </w:tc>
        <w:tc>
          <w:tcPr>
            <w:tcW w:w="720" w:type="dxa"/>
            <w:vAlign w:val="bottom"/>
          </w:tcPr>
          <w:p>
            <w:pPr>
              <w:jc w:val="right"/>
              <w:spacing w:after="0"/>
              <w:rPr>
                <w:sz w:val="20"/>
                <w:szCs w:val="20"/>
                <w:color w:val="auto"/>
              </w:rPr>
            </w:pPr>
            <w:r>
              <w:rPr>
                <w:rFonts w:ascii="Arial" w:cs="Arial" w:eastAsia="Arial" w:hAnsi="Arial"/>
                <w:sz w:val="18"/>
                <w:szCs w:val="18"/>
                <w:color w:val="auto"/>
              </w:rPr>
              <w:t>4,114</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Reversal of finance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5,623</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340"/>
              <w:spacing w:after="0"/>
              <w:rPr>
                <w:sz w:val="20"/>
                <w:szCs w:val="20"/>
                <w:color w:val="auto"/>
              </w:rPr>
            </w:pPr>
            <w:r>
              <w:rPr>
                <w:rFonts w:ascii="Arial" w:cs="Arial" w:eastAsia="Arial" w:hAnsi="Arial"/>
                <w:sz w:val="18"/>
                <w:szCs w:val="18"/>
                <w:color w:val="auto"/>
              </w:rPr>
              <w:t>Deposits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340"/>
              <w:spacing w:after="0"/>
              <w:rPr>
                <w:sz w:val="20"/>
                <w:szCs w:val="20"/>
                <w:color w:val="auto"/>
              </w:rPr>
            </w:pPr>
            <w:r>
              <w:rPr>
                <w:rFonts w:ascii="Arial" w:cs="Arial" w:eastAsia="Arial" w:hAnsi="Arial"/>
                <w:sz w:val="18"/>
                <w:szCs w:val="18"/>
                <w:color w:val="auto"/>
              </w:rPr>
              <w:t>Other receivables</w:t>
            </w:r>
          </w:p>
        </w:tc>
        <w:tc>
          <w:tcPr>
            <w:tcW w:w="72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ind w:left="340"/>
              <w:spacing w:after="0"/>
              <w:rPr>
                <w:sz w:val="20"/>
                <w:szCs w:val="20"/>
                <w:color w:val="auto"/>
              </w:rPr>
            </w:pPr>
            <w:r>
              <w:rPr>
                <w:rFonts w:ascii="Arial" w:cs="Arial" w:eastAsia="Arial" w:hAnsi="Arial"/>
                <w:sz w:val="18"/>
                <w:szCs w:val="18"/>
                <w:color w:val="auto"/>
              </w:rPr>
              <w:t>Contract liabilities (deferred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(4,746)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payables and other payables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(71,457)</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(58,574)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Finance expenses paid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924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(66,755)</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Acquisition of property, plant and equipment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(2,780)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Capital increase</w:t>
            </w:r>
          </w:p>
        </w:tc>
        <w:tc>
          <w:tcPr>
            <w:tcW w:w="720" w:type="dxa"/>
            <w:vAlign w:val="bottom"/>
          </w:tcPr>
          <w:p>
            <w:pPr>
              <w:jc w:val="right"/>
              <w:spacing w:after="0"/>
              <w:rPr>
                <w:sz w:val="20"/>
                <w:szCs w:val="20"/>
                <w:color w:val="auto"/>
              </w:rPr>
            </w:pPr>
            <w:r>
              <w:rPr>
                <w:rFonts w:ascii="Arial" w:cs="Arial" w:eastAsia="Arial" w:hAnsi="Arial"/>
                <w:sz w:val="18"/>
                <w:szCs w:val="18"/>
                <w:color w:val="auto"/>
              </w:rPr>
              <w:t>521,172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213,390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30"/>
        </w:trPr>
        <w:tc>
          <w:tcPr>
            <w:tcW w:w="924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487,207</w:t>
            </w: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200,272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417,672</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142,984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Arial" w:cs="Arial" w:eastAsia="Arial" w:hAnsi="Arial"/>
                <w:sz w:val="18"/>
                <w:szCs w:val="18"/>
                <w:color w:val="auto"/>
              </w:rPr>
              <w:t>Cash and cash equivalents at January 1</w:t>
            </w:r>
          </w:p>
        </w:tc>
        <w:tc>
          <w:tcPr>
            <w:tcW w:w="720" w:type="dxa"/>
            <w:vAlign w:val="bottom"/>
          </w:tcPr>
          <w:p>
            <w:pPr>
              <w:jc w:val="right"/>
              <w:spacing w:after="0"/>
              <w:rPr>
                <w:sz w:val="20"/>
                <w:szCs w:val="20"/>
                <w:color w:val="auto"/>
              </w:rPr>
            </w:pPr>
            <w:r>
              <w:rPr>
                <w:rFonts w:ascii="Arial" w:cs="Arial" w:eastAsia="Arial" w:hAnsi="Arial"/>
                <w:sz w:val="18"/>
                <w:szCs w:val="18"/>
                <w:color w:val="auto"/>
              </w:rPr>
              <w:t>277,862</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690,355</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640" w:type="dxa"/>
            <w:vAlign w:val="bottom"/>
            <w:gridSpan w:val="2"/>
          </w:tcPr>
          <w:p>
            <w:pPr>
              <w:ind w:left="546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August 28, 2019.</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Accordingly, these unaudited condensed consolidated interim financial statements should be read in conjunction with the Company’s annual consolidated financial statements for the year ended December 31, 2018 and accompanying notes, which have been prepared in accordance with IFRS as issued by the International Accounting Standards Board, and as adopted by the European Union.</w:t>
      </w:r>
    </w:p>
    <w:p>
      <w:pPr>
        <w:spacing w:after="0" w:line="19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As of January 1, 2019, the Company has adopted IFRS 16, “Leases” (“IFRS 16”). IFRS 16 requires, with a few exceptions, lessees to recognize assets (“right-of-use assets”) and liabilities for most leases. Accordingly, lease payments under contracts previously classified as operating leases, will be recognized over the non-cancellable lease period as depreciation included in research and development costs and general and administrative expenses, and as interest expenses included in finance expenses. Previously, lease payments under operating leases were recognized as research and development costs and general and administrative expenses.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from IFRS 16 “Leases”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primarily leases office- and laboratory facilities, and equipment. Lease arrangements are typically entered into for fixed periods but may have extension options, and options to terminate the lease within the enforceable lease term. Lease terms are negotiated on an individual basis and contain a range of different terms and conditions.</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have implemented IFRS 16 by applying the modified retrospective approach. Accordingly, no comparative information is restated. The lease liability and corresponding right-of-use assets is measured at the present value of the remaining lease payments, discounted using an estimated incremental borrowing rate at January 1, 2019.</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the transition to IFRS 16, we have reviewed our operating lease agreements’ contractual terms including lease payment structure. Fixed payments, and variable lease payments that depend on an index or a rate, are included in lease payments, whereas variable lease payments are excluded. Additionally, payments related to non-lease components are excluded, and thus treated as either research and development costs, or general and administrative expenses.</w:t>
      </w: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162"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For lease arrangements other than those relating to short-term leases and leases of low value assets, lease liabilities have been determined according to the fixed lease payments and variable lease payments that depend on an index or a rate in the non-cancellable periods, discounted by the incremental borrowing rate. Accordingly, at January 1, 2019, we have recognized a lease liability of €17.7 million.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Operating lease commitments under IAS 17 “Leases”, and as disclosed for the annual reporting period ended December 31, 2018 was</w:t>
      </w:r>
    </w:p>
    <w:p>
      <w:pPr>
        <w:spacing w:after="0" w:line="35"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€19.6 million. The transition to the lease liabilities recognized in the unaudited condensed consolidated interim financial position at January 1, 2019, in accordance with IFRS 16, is summarized below:</w:t>
      </w:r>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(EUR ‘000)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per December 31, 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Short-term contracts, and low value assets</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Undiscounted, operating lease commitments as per January 1, 2019</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w w:val="91"/>
              </w:rPr>
              <w:t>Lease liabilities discounted by incremental borrowing rates as per January 1, 2019</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January 1, 2019, right-of-use assets of €18.4 million, which include prepaid leases, were recognized as property, plant and equipment.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transition to IFRS 16 had no impact on retained earnings.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Separate note disclosures on right-of-use assets, and lease liabilities and payments for the six months ended June 30, 2019, are included in Note 7.</w:t>
      </w:r>
    </w:p>
    <w:p>
      <w:pPr>
        <w:spacing w:after="0" w:line="248"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Several other amendments to and interpretations of IFRS apply for the first time in 2019, but do not have an impact on the accounting policies applied by the Company. Thus, except for the adoption of IFRS 16, the accounting policies applied when preparing these unaudited condensed consolidated interim financial statements have been applied consistently to all the periods presented, unless otherwise stated, and are consistent with those of the Company’s most recent audited annual consolidated financial statements.</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description of our accounting policies is provided in the Accounting Policies section of the audited consolidated financial statements as of and for the year ended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1" w:lineRule="exact"/>
        <w:rPr>
          <w:sz w:val="20"/>
          <w:szCs w:val="20"/>
          <w:color w:val="auto"/>
        </w:rPr>
      </w:pPr>
    </w:p>
    <w:p>
      <w:pPr>
        <w:ind w:left="200" w:right="240" w:firstLine="992"/>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interim financial statements relate to revenue recognition, share-based payment, internally generated intangible assets, joint arrangements / collaboration agreements, and to our investment in associate.</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relate to recognition of accruals for manufacturing and clinical trial activities. No significant adjustments to accruals have been recognized during the first six months of 2019 or 2018, due to conditions that existed at December 31, 2018, or 2017. Additionally, there have been no changes to the application of significant accounting estimates, and no impairment losses have been recognized during the first six months of 2019 or 2018.</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162"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In connection with adopting IFRS 16, the following are assessed as key assumptions concerning estimation uncertainty that have a significant risk of causing a material adjustment to the carrying amount of right-to-use assets and lease liabilities within the next financial year.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Determining Lease Term</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lease arrangements provide us with a contractual right (not obligation) to either extend the lease after the initial term, or to terminate the lease within the enforceable lease term, i.e. periods where lessor cannot terminate the lease. Those options cover periods in the range from 1-6 years in addition to the non-cancellable periods. Based on our assessment at June 30, 2019, the lease terms reflect only the non-cancellable periods.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Incremental Borrowing Rate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Lease payments are discounted over the non-cancellable periods, applying each contract’s incremental borrowing rate. In determining incremental borrowing rates, we have considered the contracts’ specific repayment profiles and relevant currencies, and thus applied a corresponding risk-free interest rate, credit spread and eventual asset specific adjustment. The incremental borrowing rates applied are 2.5% and 4.25-5.0% for lease contracts denominated in EUR or Danish Kroner, and US Dollars, respectively.</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annual consolidated financial statements for the year ended December 31,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4—Revenue</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60" w:type="dxa"/>
            <w:vAlign w:val="bottom"/>
            <w:gridSpan w:val="3"/>
          </w:tcPr>
          <w:p>
            <w:pPr>
              <w:jc w:val="center"/>
              <w:ind w:left="278"/>
              <w:spacing w:after="0" w:line="142" w:lineRule="exact"/>
              <w:rPr>
                <w:sz w:val="20"/>
                <w:szCs w:val="20"/>
                <w:color w:val="auto"/>
              </w:rPr>
            </w:pPr>
            <w:r>
              <w:rPr>
                <w:rFonts w:ascii="Arial" w:cs="Arial" w:eastAsia="Arial" w:hAnsi="Arial"/>
                <w:sz w:val="14"/>
                <w:szCs w:val="14"/>
                <w:b w:val="1"/>
                <w:bCs w:val="1"/>
                <w:color w:val="auto"/>
                <w:w w:val="99"/>
              </w:rPr>
              <w:t>(EUR’000)</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8"/>
              </w:rPr>
              <w:t>7,287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License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1,338</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88"/>
              </w:rPr>
              <w:t>8,625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from external customers (geographical)</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8"/>
              </w:rPr>
              <w:t>8,625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color w:val="auto"/>
              </w:rPr>
              <w:t>(1)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8"/>
              </w:rPr>
              <w:t>8,625</w:t>
            </w:r>
          </w:p>
        </w:tc>
        <w:tc>
          <w:tcPr>
            <w:tcW w:w="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98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three and six months ended June 30, 2019, “Total revenue” includes deferred revenue from associate of €2,295 thousand, and €3,876 thousand,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 except for the geographical information on revenue included in Note 4.</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6—Warrants and Share-based Payment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our Board of Directors and select external consultants.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1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Warrants are granted by the Board of Directors in accordance with authorizations given to it by the shareholders of Ascendis Pharma A/S. As of June 30, 2019, 8,304,687 warrants had been granted, of which 19,580 warrants have been cancelled, 2,830,617 warrants have been exercised, 2,168 warrants have expired without being exercised, and 253,145 warrants have been forfeited. As of June 30, 2019, our Board of Directors was authorized to grant up to 2,311,625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The exercise prices of outstanding warrants under our warrant programs range from €6.48 to €107.14 depending on the grant dates. Vested warrants may be exercised in two or four annual exercise periods. Apart from exercise prices and exercise periods, the programs are similar.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specifies the warrant activity during the six months ended June 30, 2019:</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5,611,629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226,500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(618,089)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(20,863)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Outstanding at June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5,199,177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2,482,458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6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2018</w:t>
            </w: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6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5,244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3,451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2,258</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4,552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8"/>
              </w:rPr>
              <w:t>8,695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4,222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8,901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sections summarize the disclosures of the Company’s lease arrangements for the six months ended June 30, 2019. Additional information on the exposure from the Company’s lease arrangements is included in Note 2 and 3.</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Right-of-use Assets</w:t>
      </w:r>
    </w:p>
    <w:p>
      <w:pPr>
        <w:spacing w:after="0" w:line="117"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As of June 30, 2019, the total balance of property, plant and equipment of €42.5 million includes right-of-use-assets of €36.0 million. For the six months ended June 30, 2019, additions to right-of-use assets was €19.8 million and relates to office- and laboratory facilities.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1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of June 30, 2019, depreciation on right-of-use assets amounts to €2.2 million, recognized as research and development costs, and general and administrative expenses, by €1.7 million and €0.5 million,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Liabilities and Payments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the unaudited condensed consolidated interim statement of financial position as of June 30, 2019, the carrying amount of lease liabilities of €36.3 million is presented as non-current and current liabilities by €31.5 million and €4.8 million,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maturity profile of the Company’s lease liabilities based on contractual undiscounted payments: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70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&lt; 1 year</w:t>
            </w: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1-5 years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&gt;5 years</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cashflows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(EUR’000)</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3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36,302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19,603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18,440</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six months ended June 30, 2019, interest on lease liabilities amounts to €0.3 million, which is recognized as finance expenses.</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Payments relating to short-term leases and leases of low value assets are recognized either as research and development costs or general and administrative expenses, respectively, on a straight-line basis according to their lease term. Additionally, lease payments classified as variable, that do not depend on an index or a rate, are expensed as incurred.</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of June 30, 2019, the Company’s commitments for short-term leases, and leases of low-value assets, are deemed immaterial for the unaudited condensed consolidated interim financial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capital of Ascendis Pharma A/S consists of 47,545,204 shares at a nominal value of DKK 1, all in the same share class.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On March 14, 2019, the Company completed the sale and issuance of 4,791,667 ADSs in a public offering, increasing the Company’s share capital from 42,135,448 shares to 46,927,115 shares.</w:t>
      </w:r>
    </w:p>
    <w:p>
      <w:pPr>
        <w:spacing w:after="0" w:line="17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April and June 2019, an aggregate of 618,089 warrants were exercised, increasing the Company’s share capital from 46,927,115 shares to 47,545,204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9—Subsequent Events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No events have occurred after the balance sheet date that would have a significant impact on the results or financial position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2018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980" w:right="76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3 pediatric study of TransCon Growth Hormone, or hGH, our ongoing phase 2 study of TransCon Parathyroid Hormone, or PTH, and our ongoing phase 2 study of TransCon C-Type Natriuretic Peptide, or CNP;</w:t>
      </w:r>
    </w:p>
    <w:p>
      <w:pPr>
        <w:spacing w:after="0" w:line="75" w:lineRule="exact"/>
        <w:rPr>
          <w:rFonts w:ascii="Arial" w:cs="Arial" w:eastAsia="Arial" w:hAnsi="Arial"/>
          <w:sz w:val="18"/>
          <w:szCs w:val="18"/>
          <w:color w:val="auto"/>
        </w:rPr>
      </w:pPr>
    </w:p>
    <w:p>
      <w:pPr>
        <w:ind w:left="980" w:right="56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980" w:right="44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80" w:right="106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equivalents for such product candidates;</w:t>
      </w:r>
    </w:p>
    <w:p>
      <w:pPr>
        <w:spacing w:after="0" w:line="75" w:lineRule="exact"/>
        <w:rPr>
          <w:rFonts w:ascii="Arial" w:cs="Arial" w:eastAsia="Arial" w:hAnsi="Arial"/>
          <w:sz w:val="18"/>
          <w:szCs w:val="18"/>
          <w:color w:val="auto"/>
        </w:rPr>
      </w:pPr>
    </w:p>
    <w:p>
      <w:pPr>
        <w:ind w:left="980" w:right="58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80" w:right="14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equivalents for such product candidates;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ectPr>
          <w:pgSz w:w="11900" w:h="16838" w:orient="portrait"/>
          <w:cols w:equalWidth="0" w:num="1">
            <w:col w:w="11020"/>
          </w:cols>
          <w:pgMar w:left="440" w:top="121" w:right="439" w:bottom="1440" w:gutter="0" w:footer="0" w:header="0"/>
        </w:sectPr>
      </w:pPr>
    </w:p>
    <w:bookmarkStart w:id="14" w:name="page15"/>
    <w:bookmarkEnd w:id="14"/>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80" w:right="44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right="140" w:firstLine="992"/>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2018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9"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(the “SEC”)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992"/>
        <w:spacing w:after="0" w:line="271" w:lineRule="auto"/>
        <w:rPr>
          <w:sz w:val="20"/>
          <w:szCs w:val="20"/>
          <w:color w:val="auto"/>
        </w:rPr>
      </w:pPr>
      <w:r>
        <w:rPr>
          <w:rFonts w:ascii="Arial" w:cs="Arial" w:eastAsia="Arial" w:hAnsi="Arial"/>
          <w:sz w:val="17"/>
          <w:szCs w:val="17"/>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endocrinology rare disease product candidates to address unmet medical needs by utilizing our TransCon technologies with clinically validated parent drugs. We currently have three product candidates in clinical development in endocrinology rare diseases and we are working to apply our TransCon technology platform in additional therapeutic areas, including oncology. We recently established oncology as our second therapeutic area and are developing a pipeline of systemic and localized prodrug product candidates to address unmet medical needs in this therapeutic area. Additionally, we have developed a pipeline of long-acting prodrug product candidates through strategic collaborations and we are working with these collaboration partners in the areas of ophthalmology and diabetes.</w:t>
      </w:r>
    </w:p>
    <w:p>
      <w:pPr>
        <w:spacing w:after="0" w:line="179" w:lineRule="exact"/>
        <w:rPr>
          <w:sz w:val="20"/>
          <w:szCs w:val="20"/>
          <w:color w:val="auto"/>
        </w:rPr>
      </w:pPr>
    </w:p>
    <w:p>
      <w:pPr>
        <w:jc w:val="both"/>
        <w:ind w:right="300" w:firstLine="992"/>
        <w:spacing w:after="0" w:line="264" w:lineRule="auto"/>
        <w:rPr>
          <w:sz w:val="20"/>
          <w:szCs w:val="20"/>
          <w:color w:val="auto"/>
        </w:rPr>
      </w:pPr>
      <w:r>
        <w:rPr>
          <w:rFonts w:ascii="Arial" w:cs="Arial" w:eastAsia="Arial" w:hAnsi="Arial"/>
          <w:sz w:val="18"/>
          <w:szCs w:val="18"/>
          <w:color w:val="auto"/>
        </w:rPr>
        <w:t>Our most advanced product candidate, TransCon hGH, is in development as a once-weekly long-acting prodrug of recombinant human growth hormone, also referred to as hGH, as a potential treatment for growth hormone deficiency, or GHD. Our phase 3 program for TransCon hGH consists of the heiGHt, fliGHt and enliGHten Trials.</w:t>
      </w:r>
    </w:p>
    <w:p>
      <w:pPr>
        <w:spacing w:after="0" w:line="181" w:lineRule="exact"/>
        <w:rPr>
          <w:sz w:val="20"/>
          <w:szCs w:val="20"/>
          <w:color w:val="auto"/>
        </w:rPr>
      </w:pPr>
    </w:p>
    <w:p>
      <w:pPr>
        <w:ind w:right="140" w:firstLine="992"/>
        <w:spacing w:after="0" w:line="257" w:lineRule="auto"/>
        <w:rPr>
          <w:sz w:val="20"/>
          <w:szCs w:val="20"/>
          <w:color w:val="auto"/>
        </w:rPr>
      </w:pPr>
      <w:r>
        <w:rPr>
          <w:rFonts w:ascii="Arial" w:cs="Arial" w:eastAsia="Arial" w:hAnsi="Arial"/>
          <w:sz w:val="18"/>
          <w:szCs w:val="18"/>
          <w:color w:val="auto"/>
        </w:rPr>
        <w:t>In March 2019, we announced top-line results from the pivotal, phase 3 heiGHt Trial, in which TransCon hGH was observed to have superior efficacy and comparable safety and tolerability to that of daily hGH. Results from the trial indicate that TransCon hGH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88" w:lineRule="exact"/>
        <w:rPr>
          <w:sz w:val="20"/>
          <w:szCs w:val="20"/>
          <w:color w:val="auto"/>
        </w:rPr>
      </w:pPr>
    </w:p>
    <w:p>
      <w:pPr>
        <w:ind w:right="140" w:firstLine="992"/>
        <w:spacing w:after="0" w:line="257" w:lineRule="auto"/>
        <w:rPr>
          <w:sz w:val="20"/>
          <w:szCs w:val="20"/>
          <w:color w:val="auto"/>
        </w:rPr>
      </w:pPr>
      <w:r>
        <w:rPr>
          <w:rFonts w:ascii="Arial" w:cs="Arial" w:eastAsia="Arial" w:hAnsi="Arial"/>
          <w:sz w:val="18"/>
          <w:szCs w:val="18"/>
          <w:color w:val="auto"/>
        </w:rPr>
        <w:t>In May 2019, we announced results from the single arm phase 3 fliGHt Trial of TransCon hGH, which was designed to expand the safety database on TransCon hGH in pediatric subjects. The results indicated treatment with TransCon hGH was safe and well-tolerated in subjects with pediatric GHD who were previously treated with commercially-available daily growth hormone therapies. In the trial, the adverse event profile of TransCon hGH was similar to the published safety profile of daily growth hormone therapies. Results from the fliGHt Trial also support safety of TransCon hGH in subjects under three years of age.</w:t>
      </w:r>
    </w:p>
    <w:p>
      <w:pPr>
        <w:spacing w:after="0" w:line="188"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Nearly all subjects who completed the heiGHt or fliGHt Trials have enrolled in the open-label extension study, the enliGHten Trial, which is designed to provide long-term safety data to support the planned regulatory filings for TransCon hGH. We initiated the enliGHten Trial in 2017 as the first subjects began to roll over from the heiGHt Trial, and we have enrolled approximately 300 subjects, which will form a safety database consistent with input from regulatory authorities.</w:t>
      </w:r>
    </w:p>
    <w:p>
      <w:pPr>
        <w:spacing w:after="0" w:line="187" w:lineRule="exact"/>
        <w:rPr>
          <w:sz w:val="20"/>
          <w:szCs w:val="20"/>
          <w:color w:val="auto"/>
        </w:rPr>
      </w:pPr>
    </w:p>
    <w:p>
      <w:pPr>
        <w:ind w:firstLine="992"/>
        <w:spacing w:after="0" w:line="279" w:lineRule="auto"/>
        <w:rPr>
          <w:sz w:val="20"/>
          <w:szCs w:val="20"/>
          <w:color w:val="auto"/>
        </w:rPr>
      </w:pPr>
      <w:r>
        <w:rPr>
          <w:rFonts w:ascii="Arial" w:cs="Arial" w:eastAsia="Arial" w:hAnsi="Arial"/>
          <w:sz w:val="17"/>
          <w:szCs w:val="17"/>
          <w:color w:val="auto"/>
        </w:rPr>
        <w:t>We expect the last subject visit forming the two-year follow up for the TransCon hGH phase 3 program in pediatric GHD will occur during the third quarter of 2019. These data, including results from approximately 300 subjects treated with TransCon hGH (approximately 300 for six months, 120 for 12 months and 45 for 24 months), will form the safety database to support a Biologics License Application, or BLA, to the U.S. Food and Drug Administration, or the FDA, for TransCon hGH to treat pediatric GHD in the first half of 2020.</w:t>
      </w:r>
    </w:p>
    <w:p>
      <w:pPr>
        <w:sectPr>
          <w:pgSz w:w="11900" w:h="16838" w:orient="portrait"/>
          <w:cols w:equalWidth="0" w:num="1">
            <w:col w:w="11020"/>
          </w:cols>
          <w:pgMar w:left="440" w:top="274" w:right="439" w:bottom="1440" w:gutter="0" w:footer="0" w:header="0"/>
        </w:sectPr>
      </w:pPr>
    </w:p>
    <w:bookmarkStart w:id="15" w:name="page16"/>
    <w:bookmarkEnd w:id="15"/>
    <w:p>
      <w:pPr>
        <w:ind w:right="140"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TransCon hGH may offer a once-weekly therapy for GHD with the potential to improve outcomes compared to currently approved daily hGH. We have also conducted a phase 2 clinical trial in adult subjects with GHD that will form the basis of designing future clinical research in adult GHD. If approved, TransCon hGH may reduce the burden of daily treatment by requiring significantly fewer injections, which may improve compliance and treatment outcomes.</w:t>
      </w:r>
    </w:p>
    <w:p>
      <w:pPr>
        <w:spacing w:after="0" w:line="187"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We are also using our TransCon technology platform to develop TransCon PTH, a once-daily long-acting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 We believe TransCon PTH may provide patients suffering from hypoparathyroidism with a PTH replacement therapy that is designed to fully address all aspects of the disease more than standard of care or currently approved therapies. 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We initiated the phase 2 PaTH Forward Trial in adult subjects with hypoparathyroidism in the first quarter of 2019 with the goal of evaluating different fixed doses of TransCon PTH and a titration regimen for complete withdrawal of standard of care (i.e., calcium and active Vitamin D supplementation), using a ready-to-use prefilled pen device. Our plan for our phase 3 program for TransCon PTH includes incorporating trial sites in the United States, Europe, Australia, Canada, Japan and possibly other Asian countries.</w:t>
      </w:r>
    </w:p>
    <w:p>
      <w:pPr>
        <w:spacing w:after="0" w:line="180"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We are also developing TransCon CNP, a long-acting prodrug of C-type natriuretic peptide, or CNP, as a potential therapeutic option for achondroplasia, the most common form of dwarfism. Currently, there are no medical therapies for achondroplasia approved by the FDA. TransCon CNP utilizes our TransCon technology platform to create a long-acting CNP prodrug as a potential therapeutic option for achondroplasia and potentially other skeletal disorders. CNP as a therapeutic approach is supported by extensive preclinical and clinical data. In May 2019, we completed a phase 1 clinical trial in healthy adult subjects, which supported our target product profile for TransCon CNP and was consistent with preliminary data reported in November 2018. The phase 1 results demonstrated that TransCon CNP provided continuous exposure to CNP with a pharmacokinetic profile designed to maximize efficacy with once-weekly dosing. In February 2019, we were granted ODD by the FDA for TransCon CNP. Following successful submission of an IND application in July 2019, we initiated the phase 2 ACcomplisH Trial, a global phase 2 trial designed to evaluate the safety and efficacy of TransCon CNP in children with achondroplasia. Our goal is to develop TransCon CNP as a safe and effective therapeutic option for achondroplasia and potentially other related growth disorders.</w:t>
      </w:r>
    </w:p>
    <w:p>
      <w:pPr>
        <w:spacing w:after="0" w:line="178" w:lineRule="exact"/>
        <w:rPr>
          <w:sz w:val="20"/>
          <w:szCs w:val="20"/>
          <w:color w:val="auto"/>
        </w:rPr>
      </w:pPr>
    </w:p>
    <w:p>
      <w:pPr>
        <w:ind w:right="60" w:firstLine="992"/>
        <w:spacing w:after="0" w:line="257" w:lineRule="auto"/>
        <w:rPr>
          <w:sz w:val="20"/>
          <w:szCs w:val="20"/>
          <w:color w:val="auto"/>
        </w:rPr>
      </w:pPr>
      <w:r>
        <w:rPr>
          <w:rFonts w:ascii="Arial" w:cs="Arial" w:eastAsia="Arial" w:hAnsi="Arial"/>
          <w:sz w:val="18"/>
          <w:szCs w:val="18"/>
          <w:color w:val="auto"/>
        </w:rPr>
        <w:t>In addition to our pipeline of endocrinology rare disease candidates, in June 2019, we introduced our pipeline of oncology product candidates, our second independent therapeutic area of focus for our TransCon technologies.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w:t>
      </w:r>
    </w:p>
    <w:p>
      <w:pPr>
        <w:spacing w:after="0" w:line="188"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addition, we have strategic collaborations for TransCon anti-VEGF in the field of ophthalmology, which is partnered with Genentech,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TransCon peptide program for the treatment of diabetes, which is partnered with Sanofi. We are eligible to receive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development and regulatory milestone payments for products currently being developed under our collaboration agreements,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sales-based milestone payments and royalties on future net sales of products.</w:t>
      </w:r>
    </w:p>
    <w:p>
      <w:pPr>
        <w:spacing w:after="0" w:line="211" w:lineRule="exact"/>
        <w:rPr>
          <w:sz w:val="20"/>
          <w:szCs w:val="20"/>
          <w:color w:val="auto"/>
        </w:rPr>
      </w:pPr>
    </w:p>
    <w:p>
      <w:pPr>
        <w:ind w:right="60" w:firstLine="992"/>
        <w:spacing w:after="0" w:line="255" w:lineRule="auto"/>
        <w:rPr>
          <w:sz w:val="20"/>
          <w:szCs w:val="20"/>
          <w:color w:val="auto"/>
        </w:rPr>
      </w:pPr>
      <w:r>
        <w:rPr>
          <w:rFonts w:ascii="Arial" w:cs="Arial" w:eastAsia="Arial" w:hAnsi="Arial"/>
          <w:sz w:val="18"/>
          <w:szCs w:val="18"/>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including our multi-product collaborations with Sanofi and Genentech. We have applied the TransCon technologies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ectPr>
          <w:pgSz w:w="11900" w:h="16838" w:orient="portrait"/>
          <w:cols w:equalWidth="0" w:num="1">
            <w:col w:w="11000"/>
          </w:cols>
          <w:pgMar w:left="440" w:top="274" w:right="459" w:bottom="1440" w:gutter="0" w:footer="0" w:header="0"/>
        </w:sectPr>
      </w:pPr>
    </w:p>
    <w:bookmarkStart w:id="16" w:name="page17"/>
    <w:bookmarkEnd w:id="16"/>
    <w:p>
      <w:pPr>
        <w:ind w:right="160" w:firstLine="992"/>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TransCon technologies enable us to create long-acting prodrug therapies with potentially significant advantages over existing marketed drug products. Our TransCon technologies transiently link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58"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right="420" w:firstLine="992"/>
        <w:spacing w:after="0" w:line="264" w:lineRule="auto"/>
        <w:rPr>
          <w:sz w:val="20"/>
          <w:szCs w:val="20"/>
          <w:color w:val="auto"/>
        </w:rPr>
      </w:pPr>
      <w:r>
        <w:rPr>
          <w:rFonts w:ascii="Arial" w:cs="Arial" w:eastAsia="Arial" w:hAnsi="Arial"/>
          <w:sz w:val="18"/>
          <w:szCs w:val="18"/>
          <w:color w:val="auto"/>
        </w:rPr>
        <w:t>We had a net loss of €112.5 million for the six months ended June 30, 2019 and a net loss of €130.1 million for the year ended December 31, 2018. Our total equity was €675.1 million as of June 30, 2019 compared to €280.1 million as of December 31, 2018. The increase in equity reflects the follow-on public offering of ADSs in March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 (unaudited):</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44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(43,826)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(40,235)</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(10,960)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(5,226)</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profit / (loss)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(51,575)</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(45,443)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Finance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3,362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(58,969</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(22,876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(58,904</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(22,777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Total revenue for the three months ended June 30, 2019 was €3.2 million compared to total revenue of €18 thousand for the three months ended June 30, 2018. This change was due to recognition of revenue related to our investment in Visen.</w:t>
      </w:r>
    </w:p>
    <w:p>
      <w:pPr>
        <w:spacing w:after="0" w:line="170"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As of June 30, 2019, we had deferred income of €2.2 million under the agreement with Visen, which will be recognized as revenue as we advance the projects that are subject to our collaborations with Visen.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 w:firstLine="992"/>
        <w:spacing w:after="0" w:line="284" w:lineRule="auto"/>
        <w:rPr>
          <w:sz w:val="20"/>
          <w:szCs w:val="20"/>
          <w:color w:val="auto"/>
        </w:rPr>
      </w:pPr>
      <w:r>
        <w:rPr>
          <w:rFonts w:ascii="Arial" w:cs="Arial" w:eastAsia="Arial" w:hAnsi="Arial"/>
          <w:sz w:val="16"/>
          <w:szCs w:val="16"/>
          <w:color w:val="auto"/>
        </w:rPr>
        <w:t>Research and development costs were €43.8 million for the three months ended June 30, 2019, an increase of €3.6 million, or 9%, compared to €40.2 million for the three months ended June 30, 2018. External development costs related to our TransCon hGH product candidate, decreased by €5.7 million compared to the same period last year, reflecting lower manufacturing costs as well as lower clinical trials costs, following the completion of the phase 3 heiGHt Trial in the first quarter of 2019. External development costs related to our TransCon PTH product candidate decreased by €0.3 million, reflecting lower preclinical costs and costs to develop our pen device, partially offset by higher clinical trial costs due to initiation of our phase 2 PaTH Forward clinical trial. External development costs related to our TransCon CNP product candidate increased by</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€0.1 million, primarily reflecting an increase in clinical trial costs related to the ACHieve study and preparation for the phase 2 ACcomplisH Trial which was initiated in the third quarter of 2019, partly offset by a reduction in preclinical costs.</w:t>
      </w:r>
    </w:p>
    <w:p>
      <w:pPr>
        <w:spacing w:after="0" w:line="184" w:lineRule="exact"/>
        <w:rPr>
          <w:sz w:val="20"/>
          <w:szCs w:val="20"/>
          <w:color w:val="auto"/>
        </w:rPr>
      </w:pPr>
    </w:p>
    <w:p>
      <w:pPr>
        <w:ind w:right="40" w:firstLine="992"/>
        <w:spacing w:after="0" w:line="255" w:lineRule="auto"/>
        <w:rPr>
          <w:sz w:val="20"/>
          <w:szCs w:val="20"/>
          <w:color w:val="auto"/>
        </w:rPr>
      </w:pPr>
      <w:r>
        <w:rPr>
          <w:rFonts w:ascii="Arial" w:cs="Arial" w:eastAsia="Arial" w:hAnsi="Arial"/>
          <w:sz w:val="18"/>
          <w:szCs w:val="18"/>
          <w:color w:val="auto"/>
        </w:rPr>
        <w:t>Other research and development costs increased by €9.5 million, primarily driven by an increase in personnel costs of €3.6 million and non-cash share-based payment of €3.2 million due to a higher number of employees in research and development functions, but also reflecting increases of €0.4 million in travel costs and €0.7 million in IT costs allocated to research and development functions. Costs related to laboratory operations and early stage development activities increased by €0.3 million compared to the same period of last year. Research and development costs included non-cash share-based payment of €5.2 million for the three months ended June 30, 2019, compared to €2.0 million for the three months ended June 30, 2018.</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w:t>
      </w:r>
    </w:p>
    <w:p>
      <w:pPr>
        <w:spacing w:after="0" w:line="117"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General and administrative expenses were €11.0 million for the three months ended June 30, 2019, an increase of €5.8 million, or 110%, compared to general and administrative expenses of €5.2 million for the three months ended June 30, 2018. The increase is primarily due to an increase in personnel costs of €1.6 million and non-cash share-based payment of €1.2 million for additional administrative personnel. Other general and administrative expenses increased by €2.9 million, reflecting a general increase in operating activities. General and administrative expenses included non-cash share-based payment of €3.5 million for the three months ended June 30, 2019, compared to €2.3 million for the three months ended June 30,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640" w:firstLine="992"/>
        <w:spacing w:after="0" w:line="277" w:lineRule="auto"/>
        <w:rPr>
          <w:sz w:val="20"/>
          <w:szCs w:val="20"/>
          <w:color w:val="auto"/>
        </w:rPr>
      </w:pPr>
      <w:r>
        <w:rPr>
          <w:rFonts w:ascii="Arial" w:cs="Arial" w:eastAsia="Arial" w:hAnsi="Arial"/>
          <w:sz w:val="18"/>
          <w:szCs w:val="18"/>
          <w:color w:val="auto"/>
        </w:rPr>
        <w:t>Net loss in associate was €2.3 million which represent the Company’s share of net result from Visen. As Visen was established in November 2018, no comparative figures are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firstLine="992"/>
        <w:spacing w:after="0" w:line="257" w:lineRule="auto"/>
        <w:rPr>
          <w:sz w:val="20"/>
          <w:szCs w:val="20"/>
          <w:color w:val="auto"/>
        </w:rPr>
      </w:pPr>
      <w:r>
        <w:rPr>
          <w:rFonts w:ascii="Arial" w:cs="Arial" w:eastAsia="Arial" w:hAnsi="Arial"/>
          <w:sz w:val="18"/>
          <w:szCs w:val="18"/>
          <w:color w:val="auto"/>
        </w:rPr>
        <w:t>Finance income was €3.4 million for the three months ended June 30, 2019, a decrease of €19.2 million compared to €22.6 million for the three months ended June 30, 2018. Finance expenses were €8.5 million for the three months ended June 30, 2019, an increase of €8.5 million compared to the same period of 2018. The €27.7 million decrease in net finance income was due to negative exchange rate fluctuations, primarily between the U.S. Dollar and Euro in the three months ended June 30, 2019, primarily affecting our cash position maintained in U.S. Dollars, compared to favorable exchange rate fluctuations for the three months ended June 30, 2018.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did not hold any interest-bearing debt for any of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80" w:firstLine="992"/>
        <w:spacing w:after="0" w:line="286" w:lineRule="auto"/>
        <w:rPr>
          <w:sz w:val="20"/>
          <w:szCs w:val="20"/>
          <w:color w:val="auto"/>
        </w:rPr>
      </w:pPr>
      <w:r>
        <w:rPr>
          <w:rFonts w:ascii="Arial" w:cs="Arial" w:eastAsia="Arial" w:hAnsi="Arial"/>
          <w:sz w:val="17"/>
          <w:szCs w:val="17"/>
          <w:color w:val="auto"/>
        </w:rPr>
        <w:t>Tax for the three months ended June 30, 2019 was a net tax credit of €65 thousand compared to a net tax credit of €99 thousand for the three months ended June 30, 2018. Taxes for the three months ended June 30, 2019 comprised an estimated tax credit of €184 thousand in the group of Danish companies, partly offset by tax payments of €119 thousand in our U.S. and German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 (unaudited):</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(95,085)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(70,775)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(9,888)</w:t>
            </w: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(107,856)</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(80,617)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4,917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(112,676</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(64,358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(112,541</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(64,152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Total revenue for the six months ended June 30, 2019 was €8.6 million compared to total revenue of €46 thousand for the six months ended June 30, 2018. This change was due to recognition of revenue related to our investment in Visen.</w:t>
      </w:r>
    </w:p>
    <w:p>
      <w:pPr>
        <w:spacing w:after="0" w:line="170"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As of June 30, 2019, we had deferred income of €2.2 million under the agreement with Visen, which will be recognized as revenue as we advance the projects that are subject to our collaborations with Visen.</w:t>
      </w:r>
    </w:p>
    <w:p>
      <w:pPr>
        <w:sectPr>
          <w:pgSz w:w="11900" w:h="16838" w:orient="portrait"/>
          <w:cols w:equalWidth="0" w:num="1">
            <w:col w:w="10940"/>
          </w:cols>
          <w:pgMar w:left="440" w:top="274"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Costs</w:t>
      </w:r>
    </w:p>
    <w:p>
      <w:pPr>
        <w:spacing w:after="0" w:line="117" w:lineRule="exact"/>
        <w:rPr>
          <w:sz w:val="20"/>
          <w:szCs w:val="20"/>
          <w:color w:val="auto"/>
        </w:rPr>
      </w:pPr>
    </w:p>
    <w:p>
      <w:pPr>
        <w:ind w:right="40" w:firstLine="992"/>
        <w:spacing w:after="0" w:line="290" w:lineRule="auto"/>
        <w:rPr>
          <w:sz w:val="20"/>
          <w:szCs w:val="20"/>
          <w:color w:val="auto"/>
        </w:rPr>
      </w:pPr>
      <w:r>
        <w:rPr>
          <w:rFonts w:ascii="Arial" w:cs="Arial" w:eastAsia="Arial" w:hAnsi="Arial"/>
          <w:sz w:val="16"/>
          <w:szCs w:val="16"/>
          <w:color w:val="auto"/>
        </w:rPr>
        <w:t>Research and development costs were €95.1 million for the six months ended June 30, 2019, an increase of €24.3 million, or 34%, compared to €70.8 million for the six months ended June 30, 2018. External development costs related to our TransCon hGH product candidate increased by €4.8 million, reflecting increasing costs for preparation of the manufacturing of process performance qualification batches, however partly offset by a decrease in costs of clinical trials, as we reported top-line results from the phase 3 heiGHt Trial in the first quarter of 2019. External development costs related to our TransCon PTH product candidate increased by €1.9 million, primarily reflecting increased manufacturing costs and clinical trial costs, whereas preclinical costs decreased compared to the same period of last year. External development costs related to our TransCon CNP product candidate decreased by €0.8 million, primarily reflecting a reduction in preclinical costs, partly offset by an increase in clinical trial costs related to the ACHieve study and preparation for the phase 2 ACcomplish Trial which was initiated in the third quarter of 2019.</w:t>
      </w:r>
    </w:p>
    <w:p>
      <w:pPr>
        <w:spacing w:after="0" w:line="166" w:lineRule="exact"/>
        <w:rPr>
          <w:sz w:val="20"/>
          <w:szCs w:val="20"/>
          <w:color w:val="auto"/>
        </w:rPr>
      </w:pPr>
    </w:p>
    <w:p>
      <w:pPr>
        <w:ind w:right="180" w:firstLine="992"/>
        <w:spacing w:after="0" w:line="255" w:lineRule="auto"/>
        <w:rPr>
          <w:sz w:val="20"/>
          <w:szCs w:val="20"/>
          <w:color w:val="auto"/>
        </w:rPr>
      </w:pPr>
      <w:r>
        <w:rPr>
          <w:rFonts w:ascii="Arial" w:cs="Arial" w:eastAsia="Arial" w:hAnsi="Arial"/>
          <w:sz w:val="18"/>
          <w:szCs w:val="18"/>
          <w:color w:val="auto"/>
        </w:rPr>
        <w:t>Other research and development costs increased by approximately €18.4 million, primarily driven by an increase in personnel costs of €7.6 million and non-cash share-based payment of €5.9 million due to a higher number of employees in research and development functions. Facility and IT costs allocated to research and development functions increased by €2.2 million and travel costs increased by €0.8 million. Costs related to laboratory operations and early stage development activities increased by €1.2 million compared to the same period of last year. Research and development costs included non-cash share-based payment of €10.2 million for the six months ended June 30, 2019, compared to €4.3 million for the six months ended June 30,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992"/>
        <w:spacing w:after="0" w:line="288" w:lineRule="auto"/>
        <w:rPr>
          <w:sz w:val="20"/>
          <w:szCs w:val="20"/>
          <w:color w:val="auto"/>
        </w:rPr>
      </w:pPr>
      <w:r>
        <w:rPr>
          <w:rFonts w:ascii="Arial" w:cs="Arial" w:eastAsia="Arial" w:hAnsi="Arial"/>
          <w:sz w:val="16"/>
          <w:szCs w:val="16"/>
          <w:color w:val="auto"/>
        </w:rPr>
        <w:t>General and administrative expenses were €21.4 million for the six months ended June 30, 2019, an increase of €11.5 million, or 116%, compared to general and administrative expenses of €9.9 million for the six months ended June 30, 2018. The increase is primarily due to an increase in personnel costs of €3.6 million and non-cash share-based payment of €3.4 million for additional administrative personnel. IT costs increased by</w:t>
      </w:r>
    </w:p>
    <w:p>
      <w:pPr>
        <w:ind w:right="80"/>
        <w:spacing w:after="0" w:line="302" w:lineRule="auto"/>
        <w:rPr>
          <w:sz w:val="20"/>
          <w:szCs w:val="20"/>
          <w:color w:val="auto"/>
        </w:rPr>
      </w:pPr>
      <w:r>
        <w:rPr>
          <w:rFonts w:ascii="Arial" w:cs="Arial" w:eastAsia="Arial" w:hAnsi="Arial"/>
          <w:sz w:val="16"/>
          <w:szCs w:val="16"/>
          <w:color w:val="auto"/>
        </w:rPr>
        <w:t>€1.3 million and facility costs increased by €0.4 million. Professional fees including recruitment costs and costs for preparing to build up a commercial organization increased by €2.1 million compared to the same period of last year. General and administrative expenses included non-cash share-based payment of €8.0 million for the six months ended June 30, 2019, compared to €4.6 million for the six months ended June 30,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660" w:firstLine="992"/>
        <w:spacing w:after="0" w:line="277" w:lineRule="auto"/>
        <w:rPr>
          <w:sz w:val="20"/>
          <w:szCs w:val="20"/>
          <w:color w:val="auto"/>
        </w:rPr>
      </w:pPr>
      <w:r>
        <w:rPr>
          <w:rFonts w:ascii="Arial" w:cs="Arial" w:eastAsia="Arial" w:hAnsi="Arial"/>
          <w:sz w:val="18"/>
          <w:szCs w:val="18"/>
          <w:color w:val="auto"/>
        </w:rPr>
        <w:t>Net loss in associate was €4.1 million which represent the Company’s share of net result from Visen. As Visen was established in November 2018, no comparative figures are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40" w:firstLine="992"/>
        <w:spacing w:after="0" w:line="276" w:lineRule="auto"/>
        <w:rPr>
          <w:sz w:val="20"/>
          <w:szCs w:val="20"/>
          <w:color w:val="auto"/>
        </w:rPr>
      </w:pPr>
      <w:r>
        <w:rPr>
          <w:rFonts w:ascii="Arial" w:cs="Arial" w:eastAsia="Arial" w:hAnsi="Arial"/>
          <w:sz w:val="17"/>
          <w:szCs w:val="17"/>
          <w:color w:val="auto"/>
        </w:rPr>
        <w:t>Finance income was €4.9 million for the six months ended June 30, 2019, a decrease of €11.4 million compared to €16.3 million for the six months ended June 30, 2018. Finance expenses were €5.6 million for the six months ended June 30, 2019, an increase of €5.6 million compared to €11 thousand in the same period of 2018. The €17.0 million decrease in net finance income was due to negative exchange rate fluctuations, primarily between the U.S. Dollar and Euro in the six months ended June 30, 2019, primarily affecting our cash position maintained in U.S. Dollars, compared to favorable exchange rate fluctuations for the six months ended June 30, 2018.</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did not hold any interest-bearing debt for any of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jc w:val="both"/>
        <w:ind w:right="260" w:firstLine="992"/>
        <w:spacing w:after="0" w:line="264" w:lineRule="auto"/>
        <w:rPr>
          <w:sz w:val="20"/>
          <w:szCs w:val="20"/>
          <w:color w:val="auto"/>
        </w:rPr>
      </w:pPr>
      <w:r>
        <w:rPr>
          <w:rFonts w:ascii="Arial" w:cs="Arial" w:eastAsia="Arial" w:hAnsi="Arial"/>
          <w:sz w:val="18"/>
          <w:szCs w:val="18"/>
          <w:color w:val="auto"/>
        </w:rPr>
        <w:t>Tax for the six months ended June 30, 2019 was a net credit of €0.1 million compared to a net credit of €0.2 million for the six months ended June 30, 2018. Taxes for the six months ended June 30, 2019 were comprised of an estimated tax credit of €0.4 million in the group of Danish companies partly offset by tax expenses of €0.3 million in our U.S. and German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As of June 30, 2019, we had cash and cash equivalents totaling €690.4 million compared to €277.9 million as of December 31, 2018. We have funded our operations primarily through issuance of our preference shares, ordinary shares and convertible debt securities and payments to us under our collaboration agreements. Our expenditures are primarily related to research and development activities and general and administrative activities to support research and development. We do not have any debt to third parties.</w:t>
      </w:r>
    </w:p>
    <w:p>
      <w:pPr>
        <w:sectPr>
          <w:pgSz w:w="11900" w:h="16838" w:orient="portrait"/>
          <w:cols w:equalWidth="0" w:num="1">
            <w:col w:w="10960"/>
          </w:cols>
          <w:pgMar w:left="440" w:top="274" w:right="499" w:bottom="1440" w:gutter="0" w:footer="0" w:header="0"/>
        </w:sectPr>
      </w:pPr>
    </w:p>
    <w:bookmarkStart w:id="19" w:name="page20"/>
    <w:bookmarkEnd w:id="19"/>
    <w:p>
      <w:pPr>
        <w:ind w:firstLine="99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February 2015, we announced the closing of our initial public offering, with net proceeds of $111.5 million (or €101.4 million). In 2016, we completed a follow-on public offering of American Depositary Shares, or ADSs, with net proceeds of $127.1 million (or €116.6 million) and in 2017, we completed a follow-on public offering of ADSs, with net proceeds of $145.2 million (or €123.1 million). In February 2018, we completed a follow-on public offering of ADSs, with net proceeds of $242.5 million (or €196.9 million), and in March 2019, we completed a follow-on public offering of ADSs, with net proceeds of $539.4 million (or €480.3 million).</w:t>
      </w:r>
    </w:p>
    <w:p>
      <w:pPr>
        <w:spacing w:after="0" w:line="188" w:lineRule="exact"/>
        <w:rPr>
          <w:sz w:val="20"/>
          <w:szCs w:val="20"/>
          <w:color w:val="auto"/>
        </w:rPr>
      </w:pPr>
    </w:p>
    <w:p>
      <w:pPr>
        <w:jc w:val="both"/>
        <w:ind w:right="80" w:firstLine="992"/>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June 30, 2019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420" w:right="82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56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right="380" w:hanging="322"/>
        <w:spacing w:after="0" w:line="342"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29" w:lineRule="exact"/>
        <w:rPr>
          <w:rFonts w:ascii="Arial" w:cs="Arial" w:eastAsia="Arial" w:hAnsi="Arial"/>
          <w:sz w:val="16"/>
          <w:szCs w:val="16"/>
          <w:color w:val="auto"/>
        </w:rPr>
      </w:pPr>
    </w:p>
    <w:p>
      <w:pPr>
        <w:ind w:left="1420" w:right="32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right="36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220" w:hanging="322"/>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320" w:hanging="322"/>
        <w:spacing w:after="0" w:line="342"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29" w:lineRule="exact"/>
        <w:rPr>
          <w:rFonts w:ascii="Arial" w:cs="Arial" w:eastAsia="Arial" w:hAnsi="Arial"/>
          <w:sz w:val="16"/>
          <w:szCs w:val="16"/>
          <w:color w:val="auto"/>
        </w:rPr>
      </w:pPr>
    </w:p>
    <w:p>
      <w:pPr>
        <w:ind w:left="1420" w:right="360" w:hanging="322"/>
        <w:spacing w:after="0" w:line="286"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6" w:lineRule="exact"/>
        <w:rPr>
          <w:sz w:val="20"/>
          <w:szCs w:val="20"/>
          <w:color w:val="auto"/>
        </w:rPr>
      </w:pPr>
    </w:p>
    <w:p>
      <w:pPr>
        <w:ind w:right="140" w:firstLine="992"/>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summarizes our cash flows for each of the unaudited six months periods ended June 30, 2019 and 2018:</w:t>
      </w:r>
    </w:p>
    <w:p>
      <w:pPr>
        <w:spacing w:after="0" w:line="24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Six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60" w:type="dxa"/>
            <w:vAlign w:val="bottom"/>
            <w:gridSpan w:val="3"/>
          </w:tcPr>
          <w:p>
            <w:pPr>
              <w:jc w:val="right"/>
              <w:ind w:right="37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(66,755)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(56,851)</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487,207</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200,272</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417,672</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142,984</w:t>
            </w:r>
          </w:p>
        </w:tc>
        <w:tc>
          <w:tcPr>
            <w:tcW w:w="10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Flows From / (Used in) Operating Activities</w:t>
      </w:r>
    </w:p>
    <w:p>
      <w:pPr>
        <w:spacing w:after="0" w:line="117"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Net cash used in operating activities for the six months ended June 30, 2019 was €66.8 million compared to €56.9 million for the six months ended June 30, 2018. The net loss for the six months ended June 30, 2019 of €112.5 million included non-cash charges of €20.9 million, primarily comprising share-based payment and depreciation, and other non-cash items, including net financial expenses and taxes, of €5.5 million. The net change in working capital contributed positively to cash flows by €19.3 million, primarily due to a net increase in trade payables and other payables of €21.5 million, a decrease in receivables and prepayments of €2.8 million, partly offset by a decrease in deferred income of €4.7 million and an increase in deposits of €0.3 million.</w:t>
      </w:r>
    </w:p>
    <w:p>
      <w:pPr>
        <w:spacing w:after="0" w:line="193" w:lineRule="exact"/>
        <w:rPr>
          <w:sz w:val="20"/>
          <w:szCs w:val="20"/>
          <w:color w:val="auto"/>
        </w:rPr>
      </w:pPr>
    </w:p>
    <w:p>
      <w:pPr>
        <w:ind w:firstLine="992"/>
        <w:spacing w:after="0" w:line="293" w:lineRule="auto"/>
        <w:rPr>
          <w:sz w:val="20"/>
          <w:szCs w:val="20"/>
          <w:color w:val="auto"/>
        </w:rPr>
      </w:pPr>
      <w:r>
        <w:rPr>
          <w:rFonts w:ascii="Arial" w:cs="Arial" w:eastAsia="Arial" w:hAnsi="Arial"/>
          <w:sz w:val="16"/>
          <w:szCs w:val="16"/>
          <w:color w:val="auto"/>
        </w:rPr>
        <w:t>Net cash used in operating activities for the six months ended June 30, 2018 was €56.9 million. The net loss for the six months ended June 30, 2018 of €64.2 million was adjusted by non-cash charges of €0.4 million for depreciation and €8.9 million for share-based payments. Net finance income of €16.3 million, primarily comprising exchange rate adjustments, and net tax credits of €0.2 million, was reversed. The net change in working capital contributed positively to cash flow by €12.8 million, primarily comprising a €12.8 million increase in trade payables and other payables and a €1.0 million decrease in prepayments, partly offset by an increase of €0.8 million in deposits and a net increase of €0.2 million in trade receivables and other receivables. We received net finance income of €2.0 million and paid income taxes of €0.3 million in the six months ended June 30,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Cash flows used in investing activities for the six months ended June 30, 2019 of €2.8 million were related to acquisition of property, plant and equipment, primarily equipment for use in the laboratories of our German facility.</w:t>
      </w:r>
    </w:p>
    <w:p>
      <w:pPr>
        <w:spacing w:after="0" w:line="170"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Cash flows used in investing activities for the six months ended June 30, 2018 of €0.4 million were related to the acquisition of property, plant and equipment, primarily for use in the laboratories of our German facility and in our offices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jc w:val="both"/>
        <w:ind w:right="260" w:firstLine="992"/>
        <w:spacing w:after="0" w:line="264" w:lineRule="auto"/>
        <w:rPr>
          <w:sz w:val="20"/>
          <w:szCs w:val="20"/>
          <w:color w:val="auto"/>
        </w:rPr>
      </w:pPr>
      <w:r>
        <w:rPr>
          <w:rFonts w:ascii="Arial" w:cs="Arial" w:eastAsia="Arial" w:hAnsi="Arial"/>
          <w:sz w:val="18"/>
          <w:szCs w:val="18"/>
          <w:color w:val="auto"/>
        </w:rPr>
        <w:t>Cash flows from financing activities for the six months ended June 30, 2019 of €487.2 million were comprised of €480.3 million in net proceeds from our follow-on public offering of ADSs completed in March 2019 and €9.2 million in net proceeds from warrant exercises in April and June 2019, partly offset by payments on lease liabilities of €2.3 million.</w:t>
      </w:r>
    </w:p>
    <w:p>
      <w:pPr>
        <w:spacing w:after="0" w:line="181" w:lineRule="exact"/>
        <w:rPr>
          <w:sz w:val="20"/>
          <w:szCs w:val="20"/>
          <w:color w:val="auto"/>
        </w:rPr>
      </w:pPr>
    </w:p>
    <w:p>
      <w:pPr>
        <w:jc w:val="both"/>
        <w:ind w:right="280" w:firstLine="992"/>
        <w:spacing w:after="0" w:line="342" w:lineRule="auto"/>
        <w:rPr>
          <w:sz w:val="20"/>
          <w:szCs w:val="20"/>
          <w:color w:val="auto"/>
        </w:rPr>
      </w:pPr>
      <w:r>
        <w:rPr>
          <w:rFonts w:ascii="Arial" w:cs="Arial" w:eastAsia="Arial" w:hAnsi="Arial"/>
          <w:sz w:val="16"/>
          <w:szCs w:val="16"/>
          <w:color w:val="auto"/>
        </w:rPr>
        <w:t>Cash flows from financing activities for the six months ended June 30, 2018 of €200.3 million were comprised of €196.9 million in net proceeds from our follow-on offering completed in February 2018 and €3.4 million in proceeds from exercise of warrants in April and June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80" w:firstLine="992"/>
        <w:spacing w:after="0" w:line="297" w:lineRule="auto"/>
        <w:rPr>
          <w:sz w:val="20"/>
          <w:szCs w:val="20"/>
          <w:color w:val="auto"/>
        </w:rPr>
      </w:pPr>
      <w:r>
        <w:rPr>
          <w:rFonts w:ascii="Arial" w:cs="Arial" w:eastAsia="Arial" w:hAnsi="Arial"/>
          <w:sz w:val="16"/>
          <w:szCs w:val="16"/>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IPO in February 2015 and our follow-on public offerings in October 2016, September 2017, February 2018 and March 2019 were in U.S. Dollars. We seek to minimize our exchange rate risk by maintaining cash positions in the currencies in which we expect to incur the majority of our budgeted future expenses and we make payments from those positions.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20" w:firstLine="992"/>
        <w:spacing w:after="0" w:line="259" w:lineRule="auto"/>
        <w:rPr>
          <w:sz w:val="20"/>
          <w:szCs w:val="20"/>
          <w:color w:val="auto"/>
        </w:rPr>
      </w:pPr>
      <w:r>
        <w:rPr>
          <w:rFonts w:ascii="Arial" w:cs="Arial" w:eastAsia="Arial" w:hAnsi="Arial"/>
          <w:sz w:val="18"/>
          <w:szCs w:val="18"/>
          <w:color w:val="auto"/>
        </w:rPr>
        <w:t>As we have no interest-bearing debt to third parties, derivatives or financial assets and liabilities measured at fair value,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87" w:lineRule="exact"/>
        <w:rPr>
          <w:sz w:val="20"/>
          <w:szCs w:val="20"/>
          <w:color w:val="auto"/>
        </w:rPr>
      </w:pPr>
    </w:p>
    <w:p>
      <w:pPr>
        <w:ind w:right="240" w:firstLine="992"/>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Risk</w:t>
      </w:r>
    </w:p>
    <w:p>
      <w:pPr>
        <w:spacing w:after="0" w:line="117" w:lineRule="exact"/>
        <w:rPr>
          <w:sz w:val="20"/>
          <w:szCs w:val="20"/>
          <w:color w:val="auto"/>
        </w:rPr>
      </w:pPr>
    </w:p>
    <w:p>
      <w:pPr>
        <w:ind w:firstLine="992"/>
        <w:spacing w:after="0" w:line="312" w:lineRule="auto"/>
        <w:rPr>
          <w:sz w:val="20"/>
          <w:szCs w:val="20"/>
          <w:color w:val="auto"/>
        </w:rPr>
      </w:pPr>
      <w:r>
        <w:rPr>
          <w:rFonts w:ascii="Arial" w:cs="Arial" w:eastAsia="Arial" w:hAnsi="Arial"/>
          <w:sz w:val="16"/>
          <w:szCs w:val="16"/>
          <w:color w:val="auto"/>
        </w:rPr>
        <w:t>We consider all of our material counterparties to be creditworthy. While the concentration of credit risk is significant, we consider the credit risk for each of our individual counterparts to be low. Accordingly, since we had no significant trade receivables at June 30, 2019 or December 31, 2018, and our deposits are held with suppliers that are frequently used in our operations, we have made no provision for trade receivables or deposits.</w:t>
      </w:r>
    </w:p>
    <w:p>
      <w:pPr>
        <w:spacing w:after="0" w:line="147"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Our exposure to credit risk primarily relates to our cash and cash equivalents. The credit risk is considered limited because the counterparties holding significant deposits are banks with high credit-ratings assigned by international credit-rating agencies. We have considered the expected credit loss on our cash deposits. Our assessment did not reveal any material impairment loss, and accordingly we have made no provision for bank deposits.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w:t>
      </w:r>
    </w:p>
    <w:p>
      <w:pPr>
        <w:sectPr>
          <w:pgSz w:w="11900" w:h="16838" w:orient="portrait"/>
          <w:cols w:equalWidth="0" w:num="1">
            <w:col w:w="11020"/>
          </w:cols>
          <w:pgMar w:left="440" w:top="274"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172085</wp:posOffset>
            </wp:positionV>
            <wp:extent cx="1637665" cy="626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66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Second Quarter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TransCon hGH moves towards Biologics License Application submission following completion of heiGHt and fliGHt Trials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Global reach of endocrinology rare disease programs expands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COPENHAGEN, Denmark, August 28, 2019 (GLOBE NEWSWIRE) – Ascendis Pharma A/S (Nasdaq: ASND), a biopharmaceutical company that utilizes its innovative TransCon technologies to address unmet medical needs, today announced financial results for the quarter ended June 30, 2019.</w:t>
      </w:r>
    </w:p>
    <w:p>
      <w:pPr>
        <w:spacing w:after="0" w:line="12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achievements across our three rare disease endocrinology product candidates during the first half of 2019 show we are on track to fulfill our ’Vision 3x3’ to become a leading biopharma company,” said Jan Mikkelsen, Ascendis Pharma’s President and Chief Executive Officer. “Based on the integrated, holistic view of our data, we expect TransCon hGH to raise the bar in the treatment of growth hormone deficiency, and we are getting even more confident that we will also set a new standard with TransCon PTH and TransCon CNP.”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&amp; Progress</w:t>
      </w:r>
    </w:p>
    <w:p>
      <w:pPr>
        <w:spacing w:after="0" w:line="135" w:lineRule="exact"/>
        <w:rPr>
          <w:sz w:val="20"/>
          <w:szCs w:val="20"/>
          <w:color w:val="auto"/>
        </w:rPr>
      </w:pPr>
    </w:p>
    <w:p>
      <w:pPr>
        <w:ind w:left="440" w:right="60" w:hanging="436"/>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track for a planned Biologics License Application (BLA) in the first half of 2020 and a marketing application (MAA) in Europe in the second half of 2020 for TransCon hGH, a long-acting prodrug of human growth hormone (hGH) in development as a once-weekly therapy for pediatric growth hormone deficiency (GHD). Results from the phase 3 program demonstrated statistically significantly greater efficacy (heiGHt Trial) and comparable safety and tolerability to a daily hGH (heiGHt Trial and fliGHt Trial). Additionally, Ascendis is working in collaboration with VISEN Pharmaceuticals to initiate a phase 3 trial later this year in subjects with pediatric GHD in China, and plans to initiate a global program for adult GHD in 2020.</w:t>
      </w:r>
    </w:p>
    <w:p>
      <w:pPr>
        <w:spacing w:after="0" w:line="98"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Introduced the TransCon hGH Auto-Injector and dual-chamber cartridge (DCC) combination product as planned into the enliGHten Trial, a long-term extension trial for TransCon hGH. Data from the enliGHten Trial, including long-term safety data, will support the planned BLA and planned MAA for TransCon hGH.</w:t>
      </w:r>
    </w:p>
    <w:p>
      <w:pPr>
        <w:spacing w:after="0" w:line="86" w:lineRule="exact"/>
        <w:rPr>
          <w:rFonts w:ascii="Arial" w:cs="Arial" w:eastAsia="Arial" w:hAnsi="Arial"/>
          <w:sz w:val="18"/>
          <w:szCs w:val="18"/>
          <w:color w:val="auto"/>
        </w:rPr>
      </w:pPr>
    </w:p>
    <w:p>
      <w:pPr>
        <w:ind w:left="440" w:right="340" w:hanging="436"/>
        <w:spacing w:after="0" w:line="312"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Ongoing enrollment in the PaTH Forward Trial, a global, phase 2 trial designed to evaluate the safety and efficacy of TransCon PTH in adult subjects with hypoparathyroidism. TransCon PTH is a long-acting prodrug of parathyroid hormone (PTH) in development for the treatment of adult hypoparathyroidism. TransCon PTH has been designed to provide physiologic levels of PTH for 24 hours a day, seven days a week.</w:t>
      </w:r>
    </w:p>
    <w:p>
      <w:pPr>
        <w:spacing w:after="0" w:line="52" w:lineRule="exact"/>
        <w:rPr>
          <w:rFonts w:ascii="Arial" w:cs="Arial" w:eastAsia="Arial" w:hAnsi="Arial"/>
          <w:sz w:val="16"/>
          <w:szCs w:val="16"/>
          <w:color w:val="auto"/>
        </w:rPr>
      </w:pPr>
    </w:p>
    <w:p>
      <w:pPr>
        <w:ind w:left="440" w:right="500" w:hanging="436"/>
        <w:spacing w:after="0" w:line="342"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Completed filing of an Investigational New Drug (IND) application with the U.S. Food and Drug Administration (FDA) for initiation of the ACcomplisH Trial, a global, phase 2, randomized, double-blind, placebo-controlled trial designed to evaluate the safety and efficacy</w:t>
      </w:r>
    </w:p>
    <w:p>
      <w:pPr>
        <w:sectPr>
          <w:pgSz w:w="11900" w:h="16838" w:orient="portrait"/>
          <w:cols w:equalWidth="0" w:num="1">
            <w:col w:w="11020"/>
          </w:cols>
          <w:pgMar w:left="440" w:top="121" w:right="439" w:bottom="1440" w:gutter="0" w:footer="0" w:header="0"/>
        </w:sectPr>
      </w:pPr>
    </w:p>
    <w:bookmarkStart w:id="23" w:name="page24"/>
    <w:bookmarkEnd w:id="23"/>
    <w:p>
      <w:pPr>
        <w:ind w:left="440"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TransCon CNP at escalating doses in children with achondroplasia (ACH). TransCon CNP is a long-acting prodrug of C-type natriuretic peptide (CNP) that has been designed to provide continuous exposure to CNP at therapeutic levels with once-weekly dosing. All subjects who complete the ACcomplisH Trial will have the opportunity to receive TransCon CNP in a long-term safety extension trial.</w:t>
      </w:r>
    </w:p>
    <w:p>
      <w:pPr>
        <w:spacing w:after="0" w:line="7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Introduced the company’s oncology vision and programs.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Ended the second quarter of 2019 with cash and cash equivalents of €690.4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second quarter, Ascendis Pharma reported a net loss of €58.9 million, or €1.25 per share (basic and diluted) compared to a net loss of €22.8 million, or €0.55 per share (basic and diluted) for the same period in 2018.</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for the second quarter was €3.2 million compared to €18 thousand in the same quarter of 2018. The increase reflects recognition of revenue related to our strategic investment in VISEN Pharmaceuticals.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(R&amp;D) costs for the second quarter were €43.8 million compared to €40.2 million during the same period in 2018. Higher R&amp;D costs in 2019 primarily reflect an increase in personnel-related costs to support development and manufacturing of TransCon hGH, TransCon PTH and TransCon CNP, as well as increased costs for other research programs, partly offset by a decrease in costs associated with TransCon hGH due to completion of the phase 3 heiGHt Trial.</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and administrative expenses for the second quarter were €11.0 million compared to €5.2 million during the same period in 2018. The increase is primarily due to higher personnel-related costs and other increasing costs of preparing to become a commercial organization.</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2019, Ascendis had cash and cash equivalents of €690.4 million compared to €696.7 million as of March 31, 2019. As of June 30, 2019, Ascendis Pharma had 47,545,204 ordinary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Ascendis Pharma will host a conference call and webcast today at 4:30 p.m. ET to discuss its second quarter 2019 financial results. Details include: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340" w:type="dxa"/>
            <w:vAlign w:val="bottom"/>
          </w:tcPr>
          <w:p>
            <w:pPr>
              <w:ind w:left="240"/>
              <w:spacing w:after="0"/>
              <w:rPr>
                <w:sz w:val="20"/>
                <w:szCs w:val="20"/>
                <w:color w:val="auto"/>
              </w:rPr>
            </w:pPr>
            <w:r>
              <w:rPr>
                <w:rFonts w:ascii="Arial" w:cs="Arial" w:eastAsia="Arial" w:hAnsi="Arial"/>
                <w:sz w:val="18"/>
                <w:szCs w:val="18"/>
                <w:color w:val="auto"/>
                <w:w w:val="88"/>
              </w:rPr>
              <w:t>Wednesday, August 28, 2019</w:t>
            </w:r>
          </w:p>
        </w:tc>
      </w:t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340" w:type="dxa"/>
            <w:vAlign w:val="bottom"/>
          </w:tcPr>
          <w:p>
            <w:pPr>
              <w:ind w:left="240"/>
              <w:spacing w:after="0"/>
              <w:rPr>
                <w:sz w:val="20"/>
                <w:szCs w:val="20"/>
                <w:color w:val="auto"/>
              </w:rPr>
            </w:pPr>
            <w:r>
              <w:rPr>
                <w:rFonts w:ascii="Arial" w:cs="Arial" w:eastAsia="Arial" w:hAnsi="Arial"/>
                <w:sz w:val="18"/>
                <w:szCs w:val="18"/>
                <w:color w:val="auto"/>
              </w:rPr>
              <w:t>4:30 p.m. ET</w:t>
            </w:r>
          </w:p>
        </w:tc>
      </w:t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2340" w:type="dxa"/>
            <w:vAlign w:val="bottom"/>
          </w:tcPr>
          <w:p>
            <w:pPr>
              <w:ind w:left="240"/>
              <w:spacing w:after="0"/>
              <w:rPr>
                <w:sz w:val="20"/>
                <w:szCs w:val="20"/>
                <w:color w:val="auto"/>
              </w:rPr>
            </w:pPr>
            <w:r>
              <w:rPr>
                <w:rFonts w:ascii="Arial" w:cs="Arial" w:eastAsia="Arial" w:hAnsi="Arial"/>
                <w:sz w:val="18"/>
                <w:szCs w:val="18"/>
                <w:color w:val="auto"/>
              </w:rPr>
              <w:t>844-290-3904</w:t>
            </w:r>
          </w:p>
        </w:tc>
      </w:t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2340" w:type="dxa"/>
            <w:vAlign w:val="bottom"/>
          </w:tcPr>
          <w:p>
            <w:pPr>
              <w:ind w:left="240"/>
              <w:spacing w:after="0"/>
              <w:rPr>
                <w:sz w:val="20"/>
                <w:szCs w:val="20"/>
                <w:color w:val="auto"/>
              </w:rPr>
            </w:pPr>
            <w:r>
              <w:rPr>
                <w:rFonts w:ascii="Arial" w:cs="Arial" w:eastAsia="Arial" w:hAnsi="Arial"/>
                <w:sz w:val="18"/>
                <w:szCs w:val="18"/>
                <w:color w:val="auto"/>
              </w:rPr>
              <w:t>574-990-1036</w:t>
            </w:r>
          </w:p>
        </w:tc>
      </w:t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2340" w:type="dxa"/>
            <w:vAlign w:val="bottom"/>
          </w:tcPr>
          <w:p>
            <w:pPr>
              <w:ind w:left="240"/>
              <w:spacing w:after="0"/>
              <w:rPr>
                <w:sz w:val="20"/>
                <w:szCs w:val="20"/>
                <w:color w:val="auto"/>
              </w:rPr>
            </w:pPr>
            <w:r>
              <w:rPr>
                <w:rFonts w:ascii="Arial" w:cs="Arial" w:eastAsia="Arial" w:hAnsi="Arial"/>
                <w:sz w:val="18"/>
                <w:szCs w:val="18"/>
                <w:color w:val="auto"/>
              </w:rPr>
              <w:t>4793306</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also be available on this website shortly after conclusion of the event for 30 days.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new and potentially best-in-class therapies.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Ascendis Pharma currently has a pipeline of three independent endocrinology rare disease product candidates in clinical development and has established oncology as its second therapeutic area of focus. Additionally, Ascendis Pharma has multi-product collaborations with Sanofi in diabetes and Genentech in the field of ophthalmology and continues to expand into additional therapeutic areas for both internal and external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Ascendis is headquartered in Copenhagen, Denmark, with offices in Heidelberg, Germany and Palo Alto,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plans to submit a BLA with the FDA in the first half of 2020 and a MAA in Europe in the second half of 2020 for TransCon hGH, (ii) our plans to initiate a phase 3 trial of TransCon hGH in subjects with pediatric GHD in China in collaboration with Visen Pharmaceuticals later this year, and a global TransCon hGH program for adult GHD in 2020; (iii) our phase 2 ACcomplisH Trial of TransCon CNP in children with achondroplasia, (iv) our ability to apply our TransCon platform to build a leading, fully integrated biopharma company, (v) our expectations regarding our ability to create new and potentially best-in-class therapies and (vi) our product pipeline.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we make, including the following: unforeseen safety or efficacy results in our TransCon hGH, TransCon PTH and TransCon CNP or other development programs; unforeseen expenses related to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 w:name="page26"/>
    <w:bookmarkEnd w:id="2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development and potential commercialization of TransCon hGH, TransCon PTH and TransCon CNP or other development programs, general and administrative expenses, other research and development expenses and our business generally; delays in the development of TransCon hGH, TransCon PTH and TransCon CNP or other development programs related to manufacturing, regulatory requirements, speed of patient recruitment or other unforeseen delays; dependence on third party manufacturers to supply study drug for planned clinical studies; and our ability to obtain additional funding, if needed, to support our business activities.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for the year ended December 31, 2018, which we filed with the SEC on April 3, 2019.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Ascendis, Ascendis Pharma, the Ascendis Pharma logo, the company logo and TransCon are trademarks owned by the Ascendis Pharma group.</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8"/>
          <w:szCs w:val="18"/>
          <w:i w:val="1"/>
          <w:iCs w:val="1"/>
          <w:color w:val="auto"/>
        </w:rPr>
        <w:t>August 2019 Ascendis Pharma A/S.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FINANCIAL TABLES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Profit or Loss and Other Comprehensive Income /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w:t>
            </w: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(43,826)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(40,235)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(95,085)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(21,396)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(51,575)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(45,443)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(107,856)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Finance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3,362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22,573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(58,969)</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(22,876)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(112,676)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(64,358)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(22,777)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(112,541)</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2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vMerge w:val="continue"/>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(59,498)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(22,775)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(112,576)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(64,159)</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(58,904)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(22,777)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(112,541)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comprehensive income / (loss) for the period attributable to owners of the Company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(59,498)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(22,775)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(112,576)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EUR</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EUR</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EUR</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47,190,717</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41,650,907</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45,291,688</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40,182,701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720" w:type="dxa"/>
            <w:vAlign w:val="bottom"/>
            <w:gridSpan w:val="2"/>
          </w:tcPr>
          <w:p>
            <w:pPr>
              <w:ind w:left="546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42,537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Deposits</w:t>
            </w:r>
          </w:p>
        </w:tc>
        <w:tc>
          <w:tcPr>
            <w:tcW w:w="5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receivables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690,355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702,830</w:t>
            </w: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767,157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5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5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Share capital</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6,384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668,691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5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675,075</w:t>
            </w: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5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 liabilities</w:t>
            </w:r>
          </w:p>
        </w:tc>
        <w:tc>
          <w:tcPr>
            <w:tcW w:w="5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31,461</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31,461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5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Contract liabilities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payables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32,337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60,621</w:t>
            </w: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92,082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5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767,157</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400" w:type="dxa"/>
            <w:vAlign w:val="bottom"/>
            <w:vMerge w:val="restart"/>
          </w:tcPr>
          <w:p>
            <w:pPr>
              <w:jc w:val="right"/>
              <w:ind w:right="3571"/>
              <w:spacing w:after="0"/>
              <w:rPr>
                <w:sz w:val="20"/>
                <w:szCs w:val="20"/>
                <w:color w:val="auto"/>
              </w:rPr>
            </w:pPr>
            <w:r>
              <w:rPr>
                <w:rFonts w:ascii="Arial" w:cs="Arial" w:eastAsia="Arial" w:hAnsi="Arial"/>
                <w:sz w:val="18"/>
                <w:szCs w:val="18"/>
                <w:color w:val="auto"/>
              </w:rPr>
              <w:t>6</w:t>
            </w: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w w:val="91"/>
              </w:rPr>
              <w:t>Internal contact:</w:t>
            </w:r>
          </w:p>
        </w:tc>
        <w:tc>
          <w:tcPr>
            <w:tcW w:w="2680" w:type="dxa"/>
            <w:vAlign w:val="bottom"/>
            <w:gridSpan w:val="2"/>
          </w:tcPr>
          <w:p>
            <w:pPr>
              <w:spacing w:after="0"/>
              <w:rPr>
                <w:sz w:val="17"/>
                <w:szCs w:val="17"/>
                <w:color w:val="auto"/>
              </w:rPr>
            </w:pPr>
          </w:p>
        </w:tc>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Media contact:</w:t>
            </w:r>
          </w:p>
        </w:tc>
        <w:tc>
          <w:tcPr>
            <w:tcW w:w="2620" w:type="dxa"/>
            <w:vAlign w:val="bottom"/>
            <w:gridSpan w:val="3"/>
          </w:tcPr>
          <w:p>
            <w:pPr>
              <w:ind w:left="620"/>
              <w:spacing w:after="0"/>
              <w:rPr>
                <w:sz w:val="20"/>
                <w:szCs w:val="20"/>
                <w:color w:val="auto"/>
              </w:rPr>
            </w:pPr>
            <w:r>
              <w:rPr>
                <w:rFonts w:ascii="Arial" w:cs="Arial" w:eastAsia="Arial" w:hAnsi="Arial"/>
                <w:sz w:val="18"/>
                <w:szCs w:val="18"/>
                <w:b w:val="1"/>
                <w:bCs w:val="1"/>
                <w:color w:val="auto"/>
              </w:rPr>
              <w:t>Investor contact:</w:t>
            </w:r>
          </w:p>
        </w:tc>
      </w:tr>
      <w:tr>
        <w:trPr>
          <w:trHeight w:val="438"/>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T. Smith</w:t>
            </w:r>
          </w:p>
        </w:tc>
        <w:tc>
          <w:tcPr>
            <w:tcW w:w="2680" w:type="dxa"/>
            <w:vAlign w:val="bottom"/>
            <w:gridSpan w:val="2"/>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Ami Knoefler</w:t>
            </w:r>
          </w:p>
        </w:tc>
        <w:tc>
          <w:tcPr>
            <w:tcW w:w="18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Patti Bank</w:t>
            </w:r>
          </w:p>
        </w:tc>
        <w:tc>
          <w:tcPr>
            <w:tcW w:w="700" w:type="dxa"/>
            <w:vAlign w:val="bottom"/>
          </w:tcPr>
          <w:p>
            <w:pPr>
              <w:spacing w:after="0"/>
              <w:rPr>
                <w:sz w:val="24"/>
                <w:szCs w:val="24"/>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020" w:type="dxa"/>
            <w:vAlign w:val="bottom"/>
            <w:gridSpan w:val="3"/>
          </w:tcPr>
          <w:p>
            <w:pPr>
              <w:spacing w:after="0"/>
              <w:rPr>
                <w:sz w:val="20"/>
                <w:szCs w:val="20"/>
                <w:color w:val="auto"/>
              </w:rPr>
            </w:pPr>
            <w:r>
              <w:rPr>
                <w:rFonts w:ascii="Arial" w:cs="Arial" w:eastAsia="Arial" w:hAnsi="Arial"/>
                <w:sz w:val="18"/>
                <w:szCs w:val="18"/>
                <w:color w:val="auto"/>
              </w:rPr>
              <w:t>Head of Global Communications</w:t>
            </w:r>
          </w:p>
        </w:tc>
        <w:tc>
          <w:tcPr>
            <w:tcW w:w="2620" w:type="dxa"/>
            <w:vAlign w:val="bottom"/>
            <w:gridSpan w:val="3"/>
          </w:tcPr>
          <w:p>
            <w:pPr>
              <w:ind w:left="620"/>
              <w:spacing w:after="0"/>
              <w:rPr>
                <w:sz w:val="20"/>
                <w:szCs w:val="20"/>
                <w:color w:val="auto"/>
              </w:rPr>
            </w:pPr>
            <w:r>
              <w:rPr>
                <w:rFonts w:ascii="Arial" w:cs="Arial" w:eastAsia="Arial" w:hAnsi="Arial"/>
                <w:sz w:val="18"/>
                <w:szCs w:val="18"/>
                <w:color w:val="auto"/>
              </w:rPr>
              <w:t>Westwicke Partners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(650) 352-8389</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2"/>
              </w:rPr>
              <w:t>(650) 739-9952</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(415) 513-1284</w:t>
            </w:r>
          </w:p>
        </w:tc>
        <w:tc>
          <w:tcPr>
            <w:tcW w:w="700" w:type="dxa"/>
            <w:vAlign w:val="bottom"/>
          </w:tcPr>
          <w:p>
            <w:pPr>
              <w:spacing w:after="0"/>
              <w:rPr>
                <w:sz w:val="18"/>
                <w:szCs w:val="18"/>
                <w:color w:val="auto"/>
              </w:rPr>
            </w:pPr>
          </w:p>
        </w:tc>
      </w:tr>
      <w:tr>
        <w:trPr>
          <w:trHeight w:val="190"/>
        </w:trPr>
        <w:tc>
          <w:tcPr>
            <w:tcW w:w="3980" w:type="dxa"/>
            <w:vAlign w:val="bottom"/>
            <w:gridSpan w:val="3"/>
          </w:tcPr>
          <w:p>
            <w:pPr>
              <w:spacing w:after="0" w:line="190" w:lineRule="exact"/>
              <w:rPr>
                <w:sz w:val="20"/>
                <w:szCs w:val="20"/>
                <w:color w:val="auto"/>
              </w:rPr>
            </w:pPr>
            <w:r>
              <w:rPr>
                <w:rFonts w:ascii="Arial" w:cs="Arial" w:eastAsia="Arial" w:hAnsi="Arial"/>
                <w:sz w:val="18"/>
                <w:szCs w:val="18"/>
                <w:color w:val="auto"/>
              </w:rPr>
              <w:t>ir@ascendispharma.com</w:t>
            </w:r>
          </w:p>
        </w:tc>
        <w:tc>
          <w:tcPr>
            <w:tcW w:w="3020" w:type="dxa"/>
            <w:vAlign w:val="bottom"/>
            <w:gridSpan w:val="3"/>
          </w:tcPr>
          <w:p>
            <w:pPr>
              <w:spacing w:after="0" w:line="190" w:lineRule="exact"/>
              <w:rPr>
                <w:sz w:val="20"/>
                <w:szCs w:val="20"/>
                <w:color w:val="auto"/>
              </w:rPr>
            </w:pPr>
            <w:r>
              <w:rPr>
                <w:rFonts w:ascii="Arial" w:cs="Arial" w:eastAsia="Arial" w:hAnsi="Arial"/>
                <w:sz w:val="18"/>
                <w:szCs w:val="18"/>
                <w:color w:val="auto"/>
              </w:rPr>
              <w:t>ack@ascendispharma.com</w:t>
            </w:r>
          </w:p>
        </w:tc>
        <w:tc>
          <w:tcPr>
            <w:tcW w:w="2620" w:type="dxa"/>
            <w:vAlign w:val="bottom"/>
            <w:gridSpan w:val="3"/>
          </w:tcPr>
          <w:p>
            <w:pPr>
              <w:ind w:left="620"/>
              <w:spacing w:after="0" w:line="190" w:lineRule="exact"/>
              <w:rPr>
                <w:sz w:val="20"/>
                <w:szCs w:val="20"/>
                <w:color w:val="auto"/>
              </w:rPr>
            </w:pPr>
            <w:r>
              <w:rPr>
                <w:rFonts w:ascii="Arial" w:cs="Arial" w:eastAsia="Arial" w:hAnsi="Arial"/>
                <w:sz w:val="18"/>
                <w:szCs w:val="18"/>
                <w:color w:val="auto"/>
                <w:w w:val="91"/>
              </w:rPr>
              <w:t>patti.bank@westwicke.com</w:t>
            </w:r>
          </w:p>
        </w:tc>
      </w:tr>
      <w:tr>
        <w:trPr>
          <w:trHeight w:val="453"/>
        </w:trPr>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1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2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2019-11-29T19:42:05Z</dcterms:created>
  <dcterms:modified xsi:type="dcterms:W3CDTF">2019-11-29T19:42:05Z</dcterms:modified>
</cp:coreProperties>
</file>