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320" w:right="98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 Numbers 333-203040, 333-210810, 333-211512, 333-213412, 333-214843, 333-216883, 333-228576, 333-254101 and 333-261550)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March 31, 2022.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8"/>
              </w:rPr>
              <w:t>Exhibit No.</w:t>
            </w:r>
          </w:p>
        </w:tc>
        <w:tc>
          <w:tcPr>
            <w:tcW w:w="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3"/>
                <w:szCs w:val="23"/>
                <w:color w:val="auto"/>
              </w:rPr>
            </w:pPr>
          </w:p>
        </w:tc>
        <w:tc>
          <w:tcPr>
            <w:tcW w:w="65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Interim Financial Statements.</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101.IAB</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880"/>
          </w:cols>
          <w:pgMar w:left="440" w:top="297" w:right="5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Chief Legal Officer</w:t>
      </w:r>
    </w:p>
    <w:p>
      <w:pPr>
        <w:sectPr>
          <w:pgSz w:w="11900" w:h="16838" w:orient="portrait"/>
          <w:cols w:equalWidth="0" w:num="1">
            <w:col w:w="10940"/>
          </w:cols>
          <w:pgMar w:left="440" w:top="297"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432"/>
        </w:trPr>
        <w:tc>
          <w:tcPr>
            <w:tcW w:w="9920" w:type="dxa"/>
            <w:vAlign w:val="bottom"/>
          </w:tcPr>
          <w:p>
            <w:pPr>
              <w:ind w:left="4580"/>
              <w:spacing w:after="0"/>
              <w:rPr>
                <w:sz w:val="20"/>
                <w:szCs w:val="20"/>
                <w:color w:val="auto"/>
              </w:rPr>
            </w:pPr>
            <w:r>
              <w:rPr>
                <w:rFonts w:ascii="Arial" w:cs="Arial" w:eastAsia="Arial" w:hAnsi="Arial"/>
                <w:sz w:val="18"/>
                <w:szCs w:val="18"/>
                <w:b w:val="1"/>
                <w:bCs w:val="1"/>
                <w:color w:val="auto"/>
              </w:rPr>
              <w:t>ASCENDIS PHARMA A/S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170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80" w:type="dxa"/>
            <w:vAlign w:val="bottom"/>
            <w:gridSpan w:val="2"/>
            <w:vMerge w:val="restart"/>
          </w:tcPr>
          <w:p>
            <w:pPr>
              <w:spacing w:after="0"/>
              <w:rPr>
                <w:sz w:val="20"/>
                <w:szCs w:val="20"/>
                <w:color w:val="auto"/>
              </w:rPr>
            </w:pPr>
            <w:r>
              <w:rPr>
                <w:rFonts w:ascii="Arial" w:cs="Arial" w:eastAsia="Arial" w:hAnsi="Arial"/>
                <w:sz w:val="18"/>
                <w:szCs w:val="18"/>
                <w:color w:val="auto"/>
                <w:w w:val="94"/>
              </w:rPr>
              <w:t>Unaudited Condensed Consolidated Interim Statements of Profit or Loss and Other Comprehensive Income / (Loss) for the Three Months Ended</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880" w:type="dxa"/>
            <w:vAlign w:val="bottom"/>
            <w:gridSpan w:val="2"/>
            <w:vMerge w:val="continue"/>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20" w:type="dxa"/>
            <w:vAlign w:val="bottom"/>
          </w:tcPr>
          <w:p>
            <w:pPr>
              <w:ind w:left="180"/>
              <w:spacing w:after="0"/>
              <w:rPr>
                <w:sz w:val="20"/>
                <w:szCs w:val="20"/>
                <w:color w:val="auto"/>
              </w:rPr>
            </w:pPr>
            <w:r>
              <w:rPr>
                <w:rFonts w:ascii="Arial" w:cs="Arial" w:eastAsia="Arial" w:hAnsi="Arial"/>
                <w:sz w:val="18"/>
                <w:szCs w:val="18"/>
                <w:color w:val="auto"/>
              </w:rPr>
              <w:t>March 31, 2022 and 2021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Financial Position as of March 31, 2022 and December 31, 2021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March 31, 2022 and 2021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Three Months Ended March 31, 2022 and 2021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ind w:left="2720" w:right="2740" w:firstLine="12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Unaudited Condensed Consolidated Interim Statements of Profit or Loss and Comprehensive Income / (Loss) for the Three Months Ended March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2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591"/>
              <w:spacing w:after="0"/>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Profit or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Gross profit /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88,149</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(128,029)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(124,650)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34,430</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Finance expenses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(125,257)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(62,983)</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(125,498)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(62,792)</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560" w:type="dxa"/>
            <w:vAlign w:val="bottom"/>
          </w:tcPr>
          <w:p>
            <w:pPr>
              <w:spacing w:after="0" w:line="216" w:lineRule="exact"/>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20"/>
                <w:szCs w:val="20"/>
                <w:color w:val="auto"/>
                <w:vertAlign w:val="superscript"/>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56,720,063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53,759,952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22"/>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Comprehensive Income</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(125,498)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(62,792)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(125,073)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(60,950)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(125,073)</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0</wp:posOffset>
            </wp:positionV>
            <wp:extent cx="1276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460" w:right="40" w:hanging="452"/>
        <w:spacing w:after="0" w:line="233" w:lineRule="auto"/>
        <w:tabs>
          <w:tab w:leader="none" w:pos="460" w:val="left"/>
        </w:tabs>
        <w:numPr>
          <w:ilvl w:val="0"/>
          <w:numId w:val="1"/>
        </w:numPr>
        <w:rPr>
          <w:rFonts w:ascii="Arial" w:cs="Arial" w:eastAsia="Arial" w:hAnsi="Arial"/>
          <w:sz w:val="9"/>
          <w:szCs w:val="9"/>
          <w:color w:val="auto"/>
        </w:rPr>
      </w:pPr>
      <w:r>
        <w:rPr>
          <w:rFonts w:ascii="Arial" w:cs="Arial" w:eastAsia="Arial" w:hAnsi="Arial"/>
          <w:sz w:val="13"/>
          <w:szCs w:val="13"/>
          <w:color w:val="auto"/>
        </w:rPr>
        <w:t>As of March 31, 2022, a total of 7,060,788 warrants outstanding, each carrying the right to subscribe for one ordinary share, and 575,000 senior convertible notes which can potentially be converted into 3,456,785 ordinary shares, can potentially dilute earnings per share in the future but have not been included in the calculation of diluted earnings per share because they are antidilutive for the periods presented. Similarly, a total of 6,109,942 warrants outstanding as of March 31, 2021, are also considered antidilutive for the periods presented and have not been included in the calculation. The weighted average number of shares takes into account the weighted average effect of changes in treasury shares during the period.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Notes</w:t>
            </w:r>
          </w:p>
        </w:tc>
        <w:tc>
          <w:tcPr>
            <w:tcW w:w="280" w:type="dxa"/>
            <w:vAlign w:val="bottom"/>
            <w:vMerge w:val="restart"/>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127,678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126,049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35,023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receivables</w:t>
            </w:r>
          </w:p>
        </w:tc>
        <w:tc>
          <w:tcPr>
            <w:tcW w:w="480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80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107,561</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256,171</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Inventories</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92,436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75,405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80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receivables</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1,072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80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Prepayments</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27,994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25,231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80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223,055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755,643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446,267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1,121,079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805,886</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1,377,250</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800" w:type="dxa"/>
            <w:vAlign w:val="bottom"/>
            <w:gridSpan w:val="2"/>
            <w:shd w:val="clear" w:color="auto" w:fill="CCEEFF"/>
          </w:tcPr>
          <w:p>
            <w:pPr>
              <w:jc w:val="center"/>
              <w:ind w:left="4390"/>
              <w:spacing w:after="0"/>
              <w:rPr>
                <w:sz w:val="20"/>
                <w:szCs w:val="20"/>
                <w:color w:val="auto"/>
              </w:rPr>
            </w:pPr>
            <w:r>
              <w:rPr>
                <w:rFonts w:ascii="Arial" w:cs="Arial" w:eastAsia="Arial" w:hAnsi="Arial"/>
                <w:sz w:val="18"/>
                <w:szCs w:val="18"/>
                <w:b w:val="1"/>
                <w:bCs w:val="1"/>
                <w:color w:val="auto"/>
                <w:w w:val="79"/>
              </w:rPr>
              <w:t>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Distributable equity</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665,167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875,989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672,816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883,635</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80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464,736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480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141,379</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609,079</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Borrowings</w:t>
            </w:r>
          </w:p>
        </w:tc>
        <w:tc>
          <w:tcPr>
            <w:tcW w:w="480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8,926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4800" w:type="dxa"/>
            <w:vAlign w:val="bottom"/>
            <w:gridSpan w:val="2"/>
          </w:tcPr>
          <w:p>
            <w:pPr>
              <w:jc w:val="center"/>
              <w:ind w:left="44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70,683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59,417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taxes payable</w:t>
            </w: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95,355</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704,434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201,286</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1,377,250</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400" w:type="dxa"/>
            <w:vAlign w:val="bottom"/>
            <w:vMerge w:val="restart"/>
          </w:tcPr>
          <w:p>
            <w:pPr>
              <w:jc w:val="right"/>
              <w:ind w:right="279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1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5"/>
              </w:rPr>
              <w:t>Distributable Equity</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Foreign</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Share-based</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Payment</w:t>
            </w:r>
          </w:p>
        </w:tc>
        <w:tc>
          <w:tcPr>
            <w:tcW w:w="104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Premium</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4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7,646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2,107,739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(21,605)</w:t>
            </w: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left="177"/>
              <w:spacing w:after="0"/>
              <w:rPr>
                <w:sz w:val="20"/>
                <w:szCs w:val="20"/>
                <w:color w:val="auto"/>
              </w:rPr>
            </w:pPr>
            <w:r>
              <w:rPr>
                <w:rFonts w:ascii="Arial" w:cs="Arial" w:eastAsia="Arial" w:hAnsi="Arial"/>
                <w:sz w:val="18"/>
                <w:szCs w:val="18"/>
                <w:b w:val="1"/>
                <w:bCs w:val="1"/>
                <w:color w:val="auto"/>
                <w:w w:val="93"/>
              </w:rPr>
              <w:t>3,779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199,931</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7"/>
              </w:rPr>
              <w:t>(1,413,855)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883,635</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Loss for the period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(125,498)</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425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8"/>
                <w:szCs w:val="18"/>
                <w:b w:val="1"/>
                <w:bCs w:val="1"/>
                <w:color w:val="auto"/>
                <w:w w:val="93"/>
              </w:rPr>
              <w:t>4,204</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(125,498)</w:t>
            </w: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19,968</w:t>
            </w: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(106,099)</w:t>
            </w: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(106,099)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 increase</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382</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March 31, 2022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7,649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2,108,121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(127,704)</w:t>
            </w: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left="177"/>
              <w:spacing w:after="0"/>
              <w:rPr>
                <w:sz w:val="20"/>
                <w:szCs w:val="20"/>
                <w:color w:val="auto"/>
              </w:rPr>
            </w:pPr>
            <w:r>
              <w:rPr>
                <w:rFonts w:ascii="Arial" w:cs="Arial" w:eastAsia="Arial" w:hAnsi="Arial"/>
                <w:sz w:val="18"/>
                <w:szCs w:val="18"/>
                <w:b w:val="1"/>
                <w:bCs w:val="1"/>
                <w:color w:val="auto"/>
                <w:w w:val="93"/>
              </w:rPr>
              <w:t>4,204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219,899</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7"/>
              </w:rPr>
              <w:t>(1,539,353)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672,816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5"/>
              </w:rPr>
              <w:t>Distributable Equity</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Foreign</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Share-based</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Payment</w:t>
            </w:r>
          </w:p>
        </w:tc>
        <w:tc>
          <w:tcPr>
            <w:tcW w:w="104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Premium</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4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7,217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1,728,747</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(76)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133,101</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7"/>
              </w:rPr>
              <w:t>(1,030,278)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Loss for the period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left="377"/>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(62,792)</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8"/>
              </w:rPr>
              <w:t>1,842</w:t>
            </w: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1,842</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(62,792)</w:t>
            </w: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23,076</w:t>
            </w: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Equity at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7,228</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1,730,718</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1,766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156,177</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(1,093,070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40" w:type="dxa"/>
            <w:vAlign w:val="bottom"/>
            <w:gridSpan w:val="3"/>
          </w:tcPr>
          <w:p>
            <w:pPr>
              <w:ind w:left="660"/>
              <w:spacing w:after="0"/>
              <w:rPr>
                <w:sz w:val="20"/>
                <w:szCs w:val="20"/>
                <w:color w:val="auto"/>
              </w:rPr>
            </w:pPr>
            <w:r>
              <w:rPr>
                <w:rFonts w:ascii="Arial" w:cs="Arial" w:eastAsia="Arial" w:hAnsi="Arial"/>
                <w:sz w:val="14"/>
                <w:szCs w:val="14"/>
                <w:b w:val="1"/>
                <w:bCs w:val="1"/>
                <w:color w:val="auto"/>
                <w:w w:val="99"/>
              </w:rPr>
              <w:t>(EUR’000)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(125,498)</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(62,792)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(34,430)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5,399</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items:</w:t>
            </w:r>
          </w:p>
        </w:tc>
        <w:tc>
          <w:tcPr>
            <w:tcW w:w="3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Non-cash consideration relating to revenue</w:t>
            </w:r>
          </w:p>
        </w:tc>
        <w:tc>
          <w:tcPr>
            <w:tcW w:w="4920" w:type="dxa"/>
            <w:vAlign w:val="bottom"/>
            <w:gridSpan w:val="3"/>
          </w:tcPr>
          <w:p>
            <w:pPr>
              <w:jc w:val="right"/>
              <w:ind w:right="16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profit / (loss) of associate</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4,873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Share-based payment</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19,968</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4,304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3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920" w:type="dxa"/>
            <w:vAlign w:val="bottom"/>
            <w:gridSpan w:val="3"/>
          </w:tcPr>
          <w:p>
            <w:pPr>
              <w:jc w:val="right"/>
              <w:ind w:right="160"/>
              <w:spacing w:after="0"/>
              <w:rPr>
                <w:sz w:val="20"/>
                <w:szCs w:val="20"/>
                <w:color w:val="auto"/>
              </w:rPr>
            </w:pPr>
            <w:r>
              <w:rPr>
                <w:rFonts w:ascii="Arial" w:cs="Arial" w:eastAsia="Arial" w:hAnsi="Arial"/>
                <w:sz w:val="18"/>
                <w:szCs w:val="18"/>
                <w:color w:val="auto"/>
              </w:rPr>
              <w:t>(17,031)</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4920" w:type="dxa"/>
            <w:vAlign w:val="bottom"/>
            <w:gridSpan w:val="3"/>
          </w:tcPr>
          <w:p>
            <w:pPr>
              <w:jc w:val="right"/>
              <w:ind w:right="160"/>
              <w:spacing w:after="0"/>
              <w:rPr>
                <w:sz w:val="20"/>
                <w:szCs w:val="20"/>
                <w:color w:val="auto"/>
              </w:rPr>
            </w:pPr>
            <w:r>
              <w:rPr>
                <w:rFonts w:ascii="Arial" w:cs="Arial" w:eastAsia="Arial" w:hAnsi="Arial"/>
                <w:sz w:val="18"/>
                <w:szCs w:val="18"/>
                <w:color w:val="auto"/>
              </w:rPr>
              <w:t>(2,728)</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 (deferred income)</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Trade payables, accrued expenses and other payables</w:t>
            </w:r>
          </w:p>
        </w:tc>
        <w:tc>
          <w:tcPr>
            <w:tcW w:w="38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(4,338)</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38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(131,905)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(82,192)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Finance income received</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paid</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Income taxes received / (paid)</w:t>
            </w:r>
          </w:p>
        </w:tc>
        <w:tc>
          <w:tcPr>
            <w:tcW w:w="38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38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(130,788)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(81,619)</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8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38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920" w:type="dxa"/>
            <w:vAlign w:val="bottom"/>
            <w:gridSpan w:val="3"/>
          </w:tcPr>
          <w:p>
            <w:pPr>
              <w:jc w:val="right"/>
              <w:ind w:right="160"/>
              <w:spacing w:after="0"/>
              <w:rPr>
                <w:sz w:val="20"/>
                <w:szCs w:val="20"/>
                <w:color w:val="auto"/>
              </w:rPr>
            </w:pPr>
            <w:r>
              <w:rPr>
                <w:rFonts w:ascii="Arial" w:cs="Arial" w:eastAsia="Arial" w:hAnsi="Arial"/>
                <w:sz w:val="18"/>
                <w:szCs w:val="18"/>
                <w:color w:val="auto"/>
              </w:rPr>
              <w:t>(3,818)</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Reimbursement from acquisition of property, plant and equipment</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Development expenditures (software)</w:t>
            </w:r>
          </w:p>
        </w:tc>
        <w:tc>
          <w:tcPr>
            <w:tcW w:w="3820" w:type="dxa"/>
            <w:vAlign w:val="bottom"/>
          </w:tcPr>
          <w:p>
            <w:pPr>
              <w:spacing w:after="0"/>
              <w:rPr>
                <w:sz w:val="18"/>
                <w:szCs w:val="18"/>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(39,444)</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Settlement of marketable securities</w:t>
            </w:r>
          </w:p>
        </w:tc>
        <w:tc>
          <w:tcPr>
            <w:tcW w:w="38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38,542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(30,117)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8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Payment of principal portion of lease liabilities</w:t>
            </w:r>
          </w:p>
        </w:tc>
        <w:tc>
          <w:tcPr>
            <w:tcW w:w="4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proceeds from convertible senior notes</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504,454</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Acquisition of treasury shares, net of transaction costs</w:t>
            </w:r>
          </w:p>
        </w:tc>
        <w:tc>
          <w:tcPr>
            <w:tcW w:w="38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(105,154)</w:t>
            </w:r>
          </w:p>
        </w:tc>
        <w:tc>
          <w:tcPr>
            <w:tcW w:w="2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8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397,735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38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305,489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(111,716)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446,267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584,517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w w:val="93"/>
              </w:rPr>
              <w:t>Effect of exchange rate changes on balances held in foreign currencies</w:t>
            </w:r>
          </w:p>
        </w:tc>
        <w:tc>
          <w:tcPr>
            <w:tcW w:w="38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755,643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495,047</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Bank deposits</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754,497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495,047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38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755,643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495,047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820" w:type="dxa"/>
            <w:vAlign w:val="bottom"/>
            <w:vMerge w:val="restart"/>
          </w:tcPr>
          <w:p>
            <w:pPr>
              <w:jc w:val="right"/>
              <w:ind w:right="3390"/>
              <w:spacing w:after="0"/>
              <w:rPr>
                <w:sz w:val="20"/>
                <w:szCs w:val="20"/>
                <w:color w:val="auto"/>
              </w:rPr>
            </w:pPr>
            <w:r>
              <w:rPr>
                <w:rFonts w:ascii="Arial" w:cs="Arial" w:eastAsia="Arial" w:hAnsi="Arial"/>
                <w:sz w:val="18"/>
                <w:szCs w:val="18"/>
                <w:color w:val="auto"/>
              </w:rPr>
              <w:t>5</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3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global biopharmaceutical company. Ascendis Pharma A/S was incorporated in 2006 and is headquartered in Hellerup, Denmark. Unless the context otherwise requires, references to the “Company,” “we,” “us,” and “our”, refer to Ascendis Pharma A/S and its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May 11,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2021, and accompanying notes, which have been prepared in accordance with IFRS as issued by the International Accounting Standards Board (the “IASB”) and as adopted by the European Union (the “EU”).</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2021. In addition, the accounting policy for convertible senior notes applied for the first time in this reporting period, is described below.</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Convertible senior notes (“convertible notes”) are separated into a financial liability and an embedded derivative component based on the terms and conditions of the contract. The embedded derivative component is accounted for separately if this is not deemed closely related to the financial liability.</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convertible notes include an embedded equity conversion option which is not deemed closely related to the financial liability, and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financial income or expenses.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not separately accounted for. The initial carrying amount of the financial liability component including the redemption option is the residual amount of the proceeds, net of transaction costs, after separating the derivative component.</w:t>
      </w:r>
    </w:p>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financial liability is subsequently measured at amortized cost until it is extinguished on conversion, optional redemption or upon repayment at maturity. The financial liability is presented as part of borrowings on the statement of financial position.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97" w:right="339" w:bottom="1440" w:gutter="0" w:footer="0" w:header="0"/>
        </w:sectPr>
      </w:pPr>
    </w:p>
    <w:bookmarkStart w:id="9" w:name="page10"/>
    <w:bookmarkEnd w:id="9"/>
    <w:p>
      <w:pPr>
        <w:ind w:right="2560" w:firstLine="2612"/>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Notes to the Unaudited Condensed Consolidated Interim Financial Statements </w:t>
      </w:r>
      <w:r>
        <w:rPr>
          <w:rFonts w:ascii="Arial" w:cs="Arial" w:eastAsia="Arial" w:hAnsi="Arial"/>
          <w:sz w:val="18"/>
          <w:szCs w:val="18"/>
          <w:b w:val="1"/>
          <w:bCs w:val="1"/>
          <w:i w:val="1"/>
          <w:iCs w:val="1"/>
          <w:color w:val="auto"/>
        </w:rPr>
        <w:t>New International Financial Reporting Standards Not Yet Effective</w:t>
      </w:r>
    </w:p>
    <w:p>
      <w:pPr>
        <w:spacing w:after="0" w:line="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IAS 1, “Classification of Liabilities as Current or Non-current”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76" w:lineRule="exact"/>
        <w:rPr>
          <w:sz w:val="20"/>
          <w:szCs w:val="20"/>
          <w:color w:val="auto"/>
        </w:rPr>
      </w:pPr>
    </w:p>
    <w:p>
      <w:pPr>
        <w:ind w:left="1000" w:hanging="439"/>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is meant by a right to defer settlement;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 right to defer must exist at the end of the reporting period;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classification is unaffected by the likelihood that an entity will exercise its deferral right; and</w:t>
      </w:r>
    </w:p>
    <w:p>
      <w:pPr>
        <w:spacing w:after="0" w:line="130" w:lineRule="exact"/>
        <w:rPr>
          <w:rFonts w:ascii="Arial" w:cs="Arial" w:eastAsia="Arial" w:hAnsi="Arial"/>
          <w:sz w:val="18"/>
          <w:szCs w:val="18"/>
          <w:color w:val="auto"/>
        </w:rPr>
      </w:pPr>
    </w:p>
    <w:p>
      <w:pPr>
        <w:ind w:left="1000" w:right="560" w:hanging="439"/>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only if an embedded derivative in a convertible liability is itself an equity instrument would the terms of a liability not impact its classification.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approved by the EU, the amendments are effective for annual reporting periods beginning on or after January 1, 2023 and must be applied retrospectively. The amendments are expected to require the convertible notes (presented as part of borrowings on the statement of financial position) and derivative liabilities, presented as non-current liabilities at March 31, 2022, to be presented as current liabilities. On March 31, 2022, the carrying amount of convertible notes and derivative liabilities were €365.6 million and €141.4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not expected to be affected by other new or amended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3—Significant Accounting Judgements and Estimates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2021.</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Embedded Derivatives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Foreign currency conversion options, embedded in the convertible notes, are accounted for separately as derivative liabilities at fair value through profit or loss.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Fair value cannot be measured based on quoted prices in active markets, or other observable input, and accordingly, derivative liabilities are measured by use of valuation techniques in form of the Black-Scholes Option Pricing model. Subjective judgements and assumptions, which are subject to estimation uncertainties, need to be exercised in determining the appropriate input to the valuation model (Level 3 in the fair value hierarchy). These inputs include volatility of the Company’s share price for a historic period, reflecting the assumption that the historical volatility is indicative of a period similar to the expected lifetime of the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assumptions relating to these factors could affect the reported fair value of derivative liabilities.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97" w:right="399" w:bottom="1440" w:gutter="0" w:footer="0" w:header="0"/>
        </w:sectPr>
      </w:pPr>
    </w:p>
    <w:bookmarkStart w:id="10" w:name="page11"/>
    <w:bookmarkEnd w:id="10"/>
    <w:p>
      <w:pPr>
        <w:ind w:left="2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COVID-19 did not have a direct material impact on the unaudited condensed consolidated interim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in the Region Surrounding Ukraine and Russia</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ongoing conflict in the region surrounding Ukraine and Russia has impacted our ability to continue clinical trial activities in those countries. The conflict did not have a direct material impact on the unaudited condensed consolidated interim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An additional facility lease in Germany with an enforceable lease term of four years commenced in January 2022, and an initial lease liability and corresponding right-of-use asset of €2.3 million was recognized. In addition, in February 2022, the Company entered into a facility lease in Germany with an enforceable lease term of 15 years, which is expected to commence in 2025. Subject to changes in terms and conditions and development in interest rates, an initial lease liability and corresponding right-of-use asset of €55.2 million is expected to be recognized at the commencement date.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Offering</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29, 2022 (trade date, March 25, 2022), the Company issued an aggregate principal amount of $575.0 million of fixed rate 2.25% convertible notes. The net proceeds from the offering were $557.9 million (€503.3 million), after deducting the initial purchasers’ discounts and commissions and estimated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are disclosed in Note 10,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Treasury Shares</w:t>
      </w:r>
    </w:p>
    <w:p>
      <w:pPr>
        <w:spacing w:after="0" w:line="11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Company used $116.7 million (€105.2 million) of the net proceeds from the offering of the convertible notes to repurchase 1,000,000 ADSs representing the Company’s ordinary shares. Total holding of treasury shares is disclosed in Note 9, “Treasury Shares”.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297" w:right="4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5—Revenue</w:t>
      </w:r>
    </w:p>
    <w:p>
      <w:pPr>
        <w:spacing w:after="0" w:line="120"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color w:val="auto"/>
        </w:rPr>
        <w:t>Revenue from commercial sale of products relates to sale of SKYTROFA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(lonapegsomatropin-tcgd) on the U.S. market, which is sold to specialty pharmacies and specialty distributors (“commercial customers”). Customer payment terms are typically 30 days from the transaction date. SKYTROFA (lonapegsomatropin-tcgd) was approved by the U.S. Food and Drug Administration on August 25, 2021, and the Company began shipping products to commercial customers in the fourth quarter of 2021.</w:t>
      </w:r>
    </w:p>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other revenue is generated primarily from three license agreements, which were entered into in 2018. The licenses grant VISEN Pharmaceuticals (“VISEN”) exclusive rights to develop and commercialize TransCon hGH, TransCon PTH and TransCon CNP in Greater China. As consideration for the granting of such rights, the Company received up-front, non-refundable, non-cash consideration of $40.0 million in the form of 50% ownership in VISEN. At the reporting date, the Company retains approximately 44% of VISEN’s issued and outstanding shares.</w:t>
      </w:r>
    </w:p>
    <w:p>
      <w:pPr>
        <w:spacing w:after="0" w:line="190"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r>
      <w:tr>
        <w:trPr>
          <w:trHeight w:val="181"/>
        </w:trPr>
        <w:tc>
          <w:tcPr>
            <w:tcW w:w="9300" w:type="dxa"/>
            <w:vAlign w:val="bottom"/>
          </w:tcPr>
          <w:p>
            <w:pPr>
              <w:spacing w:after="0"/>
              <w:rPr>
                <w:sz w:val="15"/>
                <w:szCs w:val="15"/>
                <w:color w:val="auto"/>
              </w:rPr>
            </w:pPr>
          </w:p>
        </w:tc>
        <w:tc>
          <w:tcPr>
            <w:tcW w:w="1300" w:type="dxa"/>
            <w:vAlign w:val="bottom"/>
            <w:gridSpan w:val="3"/>
          </w:tcPr>
          <w:p>
            <w:pPr>
              <w:ind w:left="600"/>
              <w:spacing w:after="0"/>
              <w:rPr>
                <w:sz w:val="20"/>
                <w:szCs w:val="20"/>
                <w:color w:val="auto"/>
              </w:rPr>
            </w:pPr>
            <w:r>
              <w:rPr>
                <w:rFonts w:ascii="Arial" w:cs="Arial" w:eastAsia="Arial" w:hAnsi="Arial"/>
                <w:sz w:val="14"/>
                <w:szCs w:val="14"/>
                <w:b w:val="1"/>
                <w:bCs w:val="1"/>
                <w:color w:val="auto"/>
              </w:rPr>
              <w:t>(EUR’000)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Commercial sale of products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Rendering of services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Sale of clinical supply</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3,936</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Commercial customers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Collaboration partners and license agreements </w:t>
            </w:r>
            <w:r>
              <w:rPr>
                <w:rFonts w:ascii="Arial" w:cs="Arial" w:eastAsia="Arial" w:hAnsi="Arial"/>
                <w:sz w:val="20"/>
                <w:szCs w:val="20"/>
                <w:color w:val="auto"/>
                <w:vertAlign w:val="superscript"/>
              </w:rPr>
              <w:t>(1)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timing of recognition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Recognized over time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Recognized at a point in time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geographical location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Europe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China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7"/>
        </w:trPr>
        <w:tc>
          <w:tcPr>
            <w:tcW w:w="9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746</w:t>
            </w:r>
          </w:p>
        </w:tc>
      </w:tr>
      <w:tr>
        <w:trPr>
          <w:trHeight w:val="20"/>
        </w:trPr>
        <w:tc>
          <w:tcPr>
            <w:tcW w:w="9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460" w:right="80" w:hanging="452"/>
        <w:spacing w:after="0" w:line="236" w:lineRule="auto"/>
        <w:tabs>
          <w:tab w:leader="none" w:pos="460" w:val="left"/>
        </w:tabs>
        <w:numPr>
          <w:ilvl w:val="0"/>
          <w:numId w:val="3"/>
        </w:numPr>
        <w:rPr>
          <w:rFonts w:ascii="Arial" w:cs="Arial" w:eastAsia="Arial" w:hAnsi="Arial"/>
          <w:sz w:val="9"/>
          <w:szCs w:val="9"/>
          <w:color w:val="auto"/>
        </w:rPr>
      </w:pPr>
      <w:r>
        <w:rPr>
          <w:rFonts w:ascii="Arial" w:cs="Arial" w:eastAsia="Arial" w:hAnsi="Arial"/>
          <w:sz w:val="14"/>
          <w:szCs w:val="14"/>
          <w:color w:val="auto"/>
        </w:rPr>
        <w:t>For the three months ended March 31, 2022 and 2021, “Total revenue” includes recognition of previously deferred revenue/internal profit from associate of €0.6 million and €0.6 million,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97" w:right="3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Payment</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As an incentive to the Executive Board, employees, members of the Board of Directors and select consultants, Ascendis Pharma A/S has established warrant programs and, since December 2021, a Restricted Stock Unit program (“RSU program”), which are equity-settled share-based payment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Share-based compensation costs are determined using the grant date fair value of warrants and Restricted Stock Units (“RSUs”) granted, and are recognized over the vesting period as research and development costs, selling, general and administrative expenses, or cost of sales. For the three months ended March 31, 2022 and 2021, share-based compensation costs recognized in the unaudited condensed consolidated interim statement of profit or loss was €20.0 million and €23.1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RSUs are granted by the Board of Directors in accordance with authorizations given to it by the shareholders of Ascendis Pharma A/S to the Executive Board, select employees and members of the Board of Directors (“RSU-holders”) in accordance with the Company’s Restricted Stock Unit Program adopted in December 2021. Further, RSUs may be granted to select consultants. One RSU represents a right for the RSU-holder to receive one ADS of Ascendis Pharma A/S upon vesting if the vesting conditions are met or waived by the Board of Directors at its discretion.</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RSUs are hedged by treasury shares that have been repurchased in the market. Upon vesting, the Company may at its sole discretion choose to make a cash settlement instead of delivering ADSs.</w:t>
      </w:r>
    </w:p>
    <w:p>
      <w:pPr>
        <w:sectPr>
          <w:pgSz w:w="11900" w:h="16838" w:orient="portrait"/>
          <w:cols w:equalWidth="0" w:num="1">
            <w:col w:w="11180"/>
          </w:cols>
          <w:pgMar w:left="320" w:top="297" w:right="39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specifies the number of RSUs granted, and outstanding RSUs at March 31, 2022:</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Granted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Settled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Forfeited during the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at March 31,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by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2024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RSUs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148,148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12065</wp:posOffset>
            </wp:positionV>
            <wp:extent cx="711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5715</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b w:val="1"/>
          <w:bCs w:val="1"/>
          <w:color w:val="auto"/>
        </w:rPr>
        <w:t>146,810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24765</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41910</wp:posOffset>
            </wp:positionV>
            <wp:extent cx="711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48,937</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48,937</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48,936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5715</wp:posOffset>
            </wp:positionV>
            <wp:extent cx="711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b w:val="1"/>
          <w:bCs w:val="1"/>
          <w:color w:val="auto"/>
        </w:rPr>
        <w:t>146,810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24765</wp:posOffset>
            </wp:positionV>
            <wp:extent cx="711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41910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60" w:space="720"/>
            <w:col w:w="800"/>
          </w:cols>
          <w:pgMar w:left="320" w:top="297" w:right="39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at the date of grant was €123.46 for the years ended December 31, 2021, which was the first date of granting RSUs.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Warrants are granted by the Board of Directors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fixed at the fair market value of the Company’s ordinary shares at the time of grant as determined by the Board of Directors. Vested warrants may be exercised in two or four annual exercise periods.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297" w:right="39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during the three months ended March 31,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9100" w:type="dxa"/>
            <w:vAlign w:val="bottom"/>
          </w:tcPr>
          <w:p>
            <w:pPr>
              <w:spacing w:after="0"/>
              <w:rPr>
                <w:sz w:val="12"/>
                <w:szCs w:val="12"/>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Warrants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9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7,085,073</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66,950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(70,526)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7,060,788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Vested at March 31, 2022</w:t>
            </w: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4,248,774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exercise prices of outstanding warrants under the Company’s warrant programs range from €6.48 to €145.5 depending on the grant dates.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share capital of Ascendis Pharma A/S consists of 56,958,391 fully paid shares at a nominal value of DKK 1, all in the same share class.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9—Treasury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holding of treasury shares is specified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Holding in</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Nominal</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Holding</w:t>
            </w:r>
          </w:p>
        </w:tc>
        <w:tc>
          <w:tcPr>
            <w:tcW w:w="260" w:type="dxa"/>
            <w:vAlign w:val="bottom"/>
            <w:vMerge w:val="restart"/>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values</w:t>
            </w:r>
          </w:p>
        </w:tc>
        <w:tc>
          <w:tcPr>
            <w:tcW w:w="2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60" w:type="dxa"/>
            <w:vAlign w:val="bottom"/>
          </w:tcPr>
          <w:p>
            <w:pPr>
              <w:spacing w:after="0"/>
              <w:rPr>
                <w:sz w:val="15"/>
                <w:szCs w:val="15"/>
                <w:color w:val="auto"/>
              </w:rPr>
            </w:pPr>
          </w:p>
        </w:tc>
        <w:tc>
          <w:tcPr>
            <w:tcW w:w="2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shares</w:t>
            </w:r>
          </w:p>
        </w:tc>
        <w:tc>
          <w:tcPr>
            <w:tcW w:w="4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At January 1, 2022</w:t>
            </w:r>
          </w:p>
        </w:tc>
        <w:tc>
          <w:tcPr>
            <w:tcW w:w="52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154,837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Acquired from third-parties</w:t>
            </w:r>
          </w:p>
        </w:tc>
        <w:tc>
          <w:tcPr>
            <w:tcW w:w="4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At March 31, 2022</w:t>
            </w:r>
          </w:p>
        </w:tc>
        <w:tc>
          <w:tcPr>
            <w:tcW w:w="41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41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6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1,154,837</w:t>
            </w:r>
          </w:p>
        </w:tc>
        <w:tc>
          <w:tcPr>
            <w:tcW w:w="260" w:type="dxa"/>
            <w:vAlign w:val="bottom"/>
            <w:vMerge w:val="continue"/>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40" w:type="dxa"/>
            <w:vAlign w:val="bottom"/>
            <w:vMerge w:val="restart"/>
          </w:tcPr>
          <w:p>
            <w:pPr>
              <w:jc w:val="right"/>
              <w:ind w:right="2090"/>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4" w:name="page15"/>
    <w:bookmarkEnd w:id="14"/>
    <w:p>
      <w:pPr>
        <w:ind w:left="2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Assets and Financial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comprise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180" w:type="dxa"/>
            <w:vAlign w:val="bottom"/>
          </w:tcPr>
          <w:p>
            <w:pPr>
              <w:spacing w:after="0"/>
              <w:rPr>
                <w:sz w:val="15"/>
                <w:szCs w:val="15"/>
                <w:color w:val="auto"/>
              </w:rPr>
            </w:pPr>
          </w:p>
        </w:tc>
        <w:tc>
          <w:tcPr>
            <w:tcW w:w="200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by category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Trade receivables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5,808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(excluding VAT receivables)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309,542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343,358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755,643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446,267</w:t>
            </w:r>
          </w:p>
        </w:tc>
        <w:tc>
          <w:tcPr>
            <w:tcW w:w="0" w:type="dxa"/>
            <w:vAlign w:val="bottom"/>
          </w:tcPr>
          <w:p>
            <w:pPr>
              <w:spacing w:after="0"/>
              <w:rPr>
                <w:sz w:val="1"/>
                <w:szCs w:val="1"/>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1,079,086</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1,079,086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804,101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Classified in the statement of financial position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109,369</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990,777</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694,732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1,079,086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804,101</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34" w:lineRule="exact"/>
        <w:rPr>
          <w:sz w:val="20"/>
          <w:szCs w:val="20"/>
          <w:color w:val="auto"/>
        </w:rPr>
      </w:pPr>
    </w:p>
    <w:p>
      <w:pPr>
        <w:jc w:val="center"/>
        <w:ind w:left="9300"/>
        <w:spacing w:after="0"/>
        <w:rPr>
          <w:sz w:val="20"/>
          <w:szCs w:val="20"/>
          <w:color w:val="auto"/>
        </w:rPr>
      </w:pPr>
      <w:r>
        <w:rPr>
          <w:rFonts w:ascii="Arial" w:cs="Arial" w:eastAsia="Arial" w:hAnsi="Arial"/>
          <w:sz w:val="13"/>
          <w:szCs w:val="13"/>
          <w:b w:val="1"/>
          <w:bCs w:val="1"/>
          <w:color w:val="auto"/>
        </w:rPr>
        <w:t>March 31,</w:t>
      </w:r>
    </w:p>
    <w:p>
      <w:pPr>
        <w:spacing w:after="0" w:line="9"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December 31,</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9940" w:space="400"/>
            <w:col w:w="900"/>
          </w:cols>
          <w:pgMar w:left="320" w:top="29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by category</w:t>
            </w:r>
          </w:p>
        </w:tc>
        <w:tc>
          <w:tcPr>
            <w:tcW w:w="3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Borrowings</w:t>
            </w: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365,562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5100" w:type="dxa"/>
            <w:vAlign w:val="bottom"/>
            <w:gridSpan w:val="3"/>
          </w:tcPr>
          <w:p>
            <w:pPr>
              <w:jc w:val="right"/>
              <w:ind w:right="260"/>
              <w:spacing w:after="0"/>
              <w:rPr>
                <w:sz w:val="20"/>
                <w:szCs w:val="20"/>
                <w:color w:val="auto"/>
              </w:rPr>
            </w:pPr>
            <w:r>
              <w:rPr>
                <w:rFonts w:ascii="Arial" w:cs="Arial" w:eastAsia="Arial" w:hAnsi="Arial"/>
                <w:sz w:val="18"/>
                <w:szCs w:val="18"/>
                <w:color w:val="auto"/>
              </w:rPr>
              <w:t>108,100</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104,961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70,683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39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544,345</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164,378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141,379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w w:val="95"/>
              </w:rPr>
              <w:t>Financial liabilities measured at fair value through profit or loss</w:t>
            </w:r>
          </w:p>
        </w:tc>
        <w:tc>
          <w:tcPr>
            <w:tcW w:w="39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141,379</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685,724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164,378</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Classified in the statement of financial position</w:t>
            </w:r>
          </w:p>
        </w:tc>
        <w:tc>
          <w:tcPr>
            <w:tcW w:w="3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606,115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97,966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Current liabilities</w:t>
            </w:r>
          </w:p>
        </w:tc>
        <w:tc>
          <w:tcPr>
            <w:tcW w:w="3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3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685,724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164,378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960" w:type="dxa"/>
            <w:vAlign w:val="bottom"/>
            <w:vMerge w:val="restart"/>
          </w:tcPr>
          <w:p>
            <w:pPr>
              <w:jc w:val="right"/>
              <w:ind w:right="3370"/>
              <w:spacing w:after="0"/>
              <w:rPr>
                <w:sz w:val="20"/>
                <w:szCs w:val="20"/>
                <w:color w:val="auto"/>
              </w:rPr>
            </w:pPr>
            <w:r>
              <w:rPr>
                <w:rFonts w:ascii="Arial" w:cs="Arial" w:eastAsia="Arial" w:hAnsi="Arial"/>
                <w:sz w:val="18"/>
                <w:szCs w:val="18"/>
                <w:color w:val="auto"/>
              </w:rPr>
              <w:t>12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Marketable securities are measured at amortized cost, and fair values are determined based on quoted market prices or for marketable securities with short-term and infrequent market trades on mathematical calculations applying observable inputs (Level 1 or 2 in the fair value hierarchy).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80" w:type="dxa"/>
            <w:vAlign w:val="bottom"/>
          </w:tcPr>
          <w:p>
            <w:pPr>
              <w:spacing w:after="0"/>
              <w:rPr>
                <w:sz w:val="10"/>
                <w:szCs w:val="10"/>
                <w:color w:val="auto"/>
              </w:rPr>
            </w:pPr>
          </w:p>
        </w:tc>
        <w:tc>
          <w:tcPr>
            <w:tcW w:w="106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Carrying</w:t>
            </w: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0"/>
                <w:szCs w:val="10"/>
                <w:color w:val="auto"/>
              </w:rPr>
            </w:pPr>
          </w:p>
        </w:tc>
        <w:tc>
          <w:tcPr>
            <w:tcW w:w="10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(EUR’000)</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U.S. Government bonds</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89,376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88,341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95,408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95,211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papers</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Corporate bonds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200,806</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199,189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226,771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226,379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19,360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306,728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Non-current assets</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86,487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84,909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107,561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107,175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223,055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221,819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235,797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235,556</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306,728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rate structure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Fixed rate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293,837</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291,035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323,176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322,556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Floating rate</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15,705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Zero-coupon</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309,542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306,728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342,731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Specified by investment grade credit rating</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127,447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144,030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Upper medium grade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179,921</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178,472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196,909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196,566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Lower medium grade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309,542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306,728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Company’s marketable securities are all denominated in U.S. Dollars. At March 31, 2022 and December 31, 2021, the portfolio had a weighted average duration of 5.7 and 5.8 months for current positions, and 15.5 and 16.7 months for non-current positions, respectively. At March 31, 2022 and December 31, 2021, the entire portfolio had a weighted average duration of 8.4 months and 9.2 months, respectively.</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March 29, 2022 (trade date, March 25, 2022) the Company issued an aggregate principal amount of $575.0 million of fixed rate 2.25% convertible senior notes (“convertible notes”). The net proceeds from the offering of the convertible notes were $557.9 million (€503.3 million), after deducting the initial purchasers’ discounts and commissions and estimated offering expenses. The convertible notes rank equally in right of payment with all of existing and future senior unsecured indebtedness. Unless earlier converted or redeemed the convertible notes will mature on April 1, 2028.</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convertible notes will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9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31, 2022, the carrying amount of the convertible notes were €365.6 million, and the fair value was approximately €379.8 million. Fair value cannot be measured based on quoted prices in active markets, or other observable input, and accordingly the fair value was estimated by using an estimated market rate for an equivalent non-convertible instrument, and by excluding transaction costs (Level 3 in the fair value hierarchy).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Derivative liabilities relate to foreign currency conversion options embedded in the convertible notes.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cannot be measured based on quoted prices in active markets, or other observable input, and accordingly, derivative liabilities are measured by use of valuation techniques in form of the Black-Scholes Option Pricing model (Level 3 in the fair value hierarchy). Fair value of the options is calculated, applying following assumptions: (1) conversion price; (2) own share price at the reporting date; (3) maturity of the options; (4) a risk-free interest rate equaling the effective interest rate on a U.S. government bond with the same lifetime as the maturity of the options; (5) no payment of dividends; and (6) an expected volatility using the Company’s own share price (47.98 as of March 2022).</w:t>
      </w:r>
    </w:p>
    <w:p>
      <w:pPr>
        <w:spacing w:after="0" w:line="188"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Derivative liabilities were recognized on March 25, 2022, at the initial fair value of €142.5 million. For the three months ended March 31, 2022, remeasurement gains recognized in the unaudited condensed consolidated interim statement of profit or loss was €1.1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March 31, 2022, all other inputs and assumptions held constant, a 10% increase in volatility, will increase the fair value of derivative liabilities by approximately €15.5 million and indicates a decrease in profit or loss and equity before tax. Similarly, a 10% decrease in volatility indicates the opposite impact.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Similarly, on March 31, 2022, all other inputs and assumptions held constant, a 10% increase in the share price, will increase the fair value of derivative liabilities by approximately €23.6 million and indicates a decrease in profit or loss and equity before tax. Similarly, a 10% decrease in the share price indicates the opposite impact.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Analysis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Maturity analysis (on an undiscounted basis) for non-derivative financial liabilities recognized in the unaudited condensed consolidated statements of financial position at March 31, 2022 is specified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&lt; 1 year</w:t>
            </w: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1-5 years</w:t>
            </w: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&gt;5 years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cash-flows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(EUR’000)</w:t>
            </w: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Borrowings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46,617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529,626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587,897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365,562</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9,079</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53,620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66,995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129,694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108,100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70,683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70,683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91,416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100,237</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596,621</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788,274</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9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2021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420" w:right="2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Growth Hormone, or TransCon hGH, and related patient support services;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TransCon hGH and our other product candidates, if approved;</w:t>
      </w:r>
    </w:p>
    <w:p>
      <w:pPr>
        <w:spacing w:after="0" w:line="130"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TransCon hGH and our other product candidates and associated devices;</w:t>
      </w:r>
    </w:p>
    <w:p>
      <w:pPr>
        <w:spacing w:after="0" w:line="75" w:lineRule="exact"/>
        <w:rPr>
          <w:rFonts w:ascii="Arial" w:cs="Arial" w:eastAsia="Arial" w:hAnsi="Arial"/>
          <w:sz w:val="18"/>
          <w:szCs w:val="18"/>
          <w:color w:val="auto"/>
        </w:rPr>
      </w:pPr>
    </w:p>
    <w:p>
      <w:pPr>
        <w:ind w:left="1420" w:right="26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1420" w:right="10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TransCon hGH and our other product candidates, if approved for commercial use;</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potential advantages of TransCon hGH and our other product candidates over existing therapies;</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1420" w:right="62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8" w:name="page19"/>
    <w:bookmarkEnd w:id="18"/>
    <w:p>
      <w:pPr>
        <w:ind w:left="1420" w:right="300" w:hanging="331"/>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development plans with respect to TransCon hGH and our other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1420" w:right="100" w:hanging="331"/>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TransCon hGH and our other product candidates and technologies, including global commercialization strategies;</w:t>
      </w:r>
    </w:p>
    <w:p>
      <w:pPr>
        <w:spacing w:after="0" w:line="75" w:lineRule="exact"/>
        <w:rPr>
          <w:rFonts w:ascii="Arial" w:cs="Arial" w:eastAsia="Arial" w:hAnsi="Arial"/>
          <w:sz w:val="18"/>
          <w:szCs w:val="18"/>
          <w:color w:val="auto"/>
        </w:rPr>
      </w:pPr>
    </w:p>
    <w:p>
      <w:pPr>
        <w:ind w:left="1420" w:right="220" w:hanging="331"/>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TransCon hGH and our other product candidates;</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effects on our business of the worldwide COVID-19 pandemic.</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2021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applying our innovative TransCon technologies to build a leading, fully integrated, global biopharmaceutical company and develop a pipeline of product candidates with potential best-in-class profiles to address unmet medical needs.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product candidates combine our TransCon technologies with clinically-validated parent drugs and pathways, with the goal of optimizing therapeutic effect and improving tolerability and convenience.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applied these technologies in combination with a clinically-validated parent drug or pathway using our algorithm for product innovation with the goal of creating product candidates with the potential to be best-in-class in endocrinology rare diseases and oncology. In addition, we plan to apply this algorithm for product innovation and selection in new therapeutic areas. We believe our approach to product innovation may reduce the risks associated with traditional drug development, and that our TransCon technologies have been validated by non-clinical and clinical programs completed to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had a net loss of €125.5 million for the three months ended March 31, 2022, and a net loss of €383.6 million for the year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total equity was €672.8 million as of March 31, 2022 compared to €883.6 million as of December 31,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4080510" cy="155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8051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When we apply our TransCon technologies to already approved drug compounds, we may benefit from established clinical safety and efficacy data, which we believe increases the probability of success compared to traditional drug development. As presented above, our algorithm for product innovation focuses on identifying indications that have an unmet medical need, have a clinically-validated parent drug or pathway, are suitable to our TransCon technologies, have potential for creating a clearly differentiated product, have an established development pathway and have a large potentially addressable market.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currently have one marketed product and a diversified portfolio of five product candidates in clinical development in the areas of endocrinology rare diseases and oncology. We are also evaluating additional therapeutic areas and indications.</w:t>
      </w:r>
    </w:p>
    <w:p>
      <w:pPr>
        <w:spacing w:after="0" w:line="76" w:lineRule="exact"/>
        <w:rPr>
          <w:sz w:val="20"/>
          <w:szCs w:val="20"/>
          <w:color w:val="auto"/>
        </w:rPr>
      </w:pPr>
    </w:p>
    <w:p>
      <w:pPr>
        <w:ind w:left="960" w:hanging="424"/>
        <w:spacing w:after="0" w:line="293"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First Marketed Product – Our first marketed product is SKYTROFA</w:t>
      </w:r>
      <w:r>
        <w:rPr>
          <w:rFonts w:ascii="Arial" w:cs="Arial" w:eastAsia="Arial" w:hAnsi="Arial"/>
          <w:sz w:val="13"/>
          <w:szCs w:val="13"/>
          <w:color w:val="auto"/>
        </w:rPr>
        <w:t>®</w:t>
      </w:r>
      <w:r>
        <w:rPr>
          <w:rFonts w:ascii="Arial" w:cs="Arial" w:eastAsia="Arial" w:hAnsi="Arial"/>
          <w:sz w:val="16"/>
          <w:szCs w:val="16"/>
          <w:color w:val="auto"/>
        </w:rPr>
        <w:t xml:space="preserve"> (lonapegsomatropin-tcgd), developed as TransCon Growth Hormone (“TransCon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and which is now commercially available for prescription in the United States. TransCon hGH is also approved in the European Union (“EU”) under the name Lonapegsomatropin Ascendis Pharma for the treatment of children and adolescents aged from 3 years up to 18 years with growth failure due to insufficient endogenous growth hormone secretion.</w:t>
      </w:r>
    </w:p>
    <w:p>
      <w:pPr>
        <w:spacing w:after="0" w:line="69" w:lineRule="exact"/>
        <w:rPr>
          <w:rFonts w:ascii="Arial" w:cs="Arial" w:eastAsia="Arial" w:hAnsi="Arial"/>
          <w:sz w:val="16"/>
          <w:szCs w:val="16"/>
          <w:color w:val="auto"/>
        </w:rPr>
      </w:pPr>
    </w:p>
    <w:p>
      <w:pPr>
        <w:ind w:left="960" w:right="60" w:hanging="424"/>
        <w:spacing w:after="0" w:line="272"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Endocrinology Rare Disease Pipeline – We are developing three product candidates in our endocrinology rare disease portfolio spanning seven different clinical programs. These include TransCon hGH for pediatric GHD in Japan; TransCon hGH for adults with GHD; TransCon PTH for adult hypoparathyroidism; the last classical hormone deficiency for which complete hormone replacement has been elusive; and TransCon CNP for pediatric achondroplasia, the most common form of dwarfism. VISEN Pharmaceuticals (“VISEN”) is also developing TransCon hGH, TransCon PTH and TransCon CNP in China. In addition, we are planning new trials in other endocrinology rare disease indications, including TransCon hGH for Turner Syndrome; TransCon PTH for pediatric hypoparathyroidism; and TransCon CNP for infants (age 0-2 years) with achondroplasia.</w:t>
      </w:r>
    </w:p>
    <w:p>
      <w:pPr>
        <w:spacing w:after="0" w:line="82" w:lineRule="exact"/>
        <w:rPr>
          <w:rFonts w:ascii="Arial" w:cs="Arial" w:eastAsia="Arial" w:hAnsi="Arial"/>
          <w:sz w:val="17"/>
          <w:szCs w:val="17"/>
          <w:color w:val="auto"/>
        </w:rPr>
      </w:pPr>
    </w:p>
    <w:p>
      <w:pPr>
        <w:ind w:left="960" w:right="240" w:hanging="424"/>
        <w:spacing w:after="0" w:line="25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Oncology Pipeline – In oncology, we are leveraging our TransCon technologies in effort to enhance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ß/g for systemic delivery, which is designed for prolonged exposure to an IL-2 variant that selectively activates the IL-2Rß/g, with minimal binding to IL-2Ra. Our clinical development program for these product candidates also includes evaluation of them as a potential combination therapy.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TransCon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060440" cy="2828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04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Developed under the name TransCon hGH</w:t>
      </w:r>
    </w:p>
    <w:p>
      <w:pPr>
        <w:ind w:left="424" w:hanging="424"/>
        <w:spacing w:after="0" w:line="221"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development in Greater China through strategic investment in VISEN Pharmaceuticals.</w:t>
      </w:r>
    </w:p>
    <w:p>
      <w:pPr>
        <w:ind w:left="4"/>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3"/>
          <w:szCs w:val="13"/>
          <w:color w:val="auto"/>
        </w:rPr>
        <w:t>Japanese riGHt Trial.</w:t>
      </w:r>
    </w:p>
    <w:p>
      <w:pPr>
        <w:ind w:left="4"/>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3"/>
          <w:szCs w:val="13"/>
          <w:color w:val="auto"/>
        </w:rPr>
        <w:t>Global foresiGHt Trial.</w:t>
      </w:r>
    </w:p>
    <w:p>
      <w:pPr>
        <w:ind w:left="4"/>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3"/>
          <w:szCs w:val="13"/>
          <w:color w:val="auto"/>
        </w:rPr>
        <w:t>Top-line results from the North American and European PaTHway Trial were reported on March 13, 2022.</w:t>
      </w:r>
    </w:p>
    <w:p>
      <w:pPr>
        <w:ind w:left="4"/>
        <w:spacing w:after="0"/>
        <w:rPr>
          <w:rFonts w:ascii="Arial" w:cs="Arial" w:eastAsia="Arial" w:hAnsi="Arial"/>
          <w:sz w:val="14"/>
          <w:szCs w:val="14"/>
          <w:color w:val="auto"/>
        </w:rPr>
      </w:pPr>
      <w:r>
        <w:rPr>
          <w:rFonts w:ascii="Arial" w:cs="Arial" w:eastAsia="Arial" w:hAnsi="Arial"/>
          <w:sz w:val="14"/>
          <w:szCs w:val="14"/>
          <w:color w:val="auto"/>
        </w:rPr>
        <w:t>6</w:t>
      </w:r>
      <w:r>
        <w:rPr>
          <w:rFonts w:ascii="Arial" w:cs="Arial" w:eastAsia="Arial" w:hAnsi="Arial"/>
          <w:sz w:val="12"/>
          <w:szCs w:val="12"/>
          <w:color w:val="auto"/>
        </w:rPr>
        <w:t>Japanese PaTHway Japan Trial.</w:t>
      </w:r>
    </w:p>
    <w:p>
      <w:pPr>
        <w:ind w:left="4"/>
        <w:spacing w:after="0"/>
        <w:rPr>
          <w:rFonts w:ascii="Arial" w:cs="Arial" w:eastAsia="Arial" w:hAnsi="Arial"/>
          <w:sz w:val="14"/>
          <w:szCs w:val="14"/>
          <w:color w:val="auto"/>
        </w:rPr>
      </w:pPr>
      <w:r>
        <w:rPr>
          <w:rFonts w:ascii="Arial" w:cs="Arial" w:eastAsia="Arial" w:hAnsi="Arial"/>
          <w:sz w:val="14"/>
          <w:szCs w:val="14"/>
          <w:color w:val="auto"/>
        </w:rPr>
        <w:t>7</w:t>
      </w:r>
      <w:r>
        <w:rPr>
          <w:rFonts w:ascii="Arial" w:cs="Arial" w:eastAsia="Arial" w:hAnsi="Arial"/>
          <w:sz w:val="13"/>
          <w:szCs w:val="13"/>
          <w:color w:val="auto"/>
        </w:rPr>
        <w:t>North America, Europe, and Oceania ACcomplisH Trial.</w:t>
      </w:r>
    </w:p>
    <w:p>
      <w:pPr>
        <w:ind w:left="4"/>
        <w:spacing w:after="0"/>
        <w:rPr>
          <w:rFonts w:ascii="Arial" w:cs="Arial" w:eastAsia="Arial" w:hAnsi="Arial"/>
          <w:sz w:val="14"/>
          <w:szCs w:val="14"/>
          <w:color w:val="auto"/>
        </w:rPr>
      </w:pPr>
      <w:r>
        <w:rPr>
          <w:rFonts w:ascii="Arial" w:cs="Arial" w:eastAsia="Arial" w:hAnsi="Arial"/>
          <w:sz w:val="14"/>
          <w:szCs w:val="14"/>
          <w:color w:val="auto"/>
        </w:rPr>
        <w:t>8</w:t>
      </w:r>
      <w:r>
        <w:rPr>
          <w:rFonts w:ascii="Arial" w:cs="Arial" w:eastAsia="Arial" w:hAnsi="Arial"/>
          <w:sz w:val="13"/>
          <w:szCs w:val="13"/>
          <w:color w:val="auto"/>
        </w:rPr>
        <w:t>transcendIT-101 Trial.</w:t>
      </w:r>
    </w:p>
    <w:p>
      <w:pPr>
        <w:ind w:left="4"/>
        <w:spacing w:after="0"/>
        <w:rPr>
          <w:rFonts w:ascii="Arial" w:cs="Arial" w:eastAsia="Arial" w:hAnsi="Arial"/>
          <w:sz w:val="14"/>
          <w:szCs w:val="14"/>
          <w:color w:val="auto"/>
        </w:rPr>
      </w:pPr>
      <w:r>
        <w:rPr>
          <w:rFonts w:ascii="Arial" w:cs="Arial" w:eastAsia="Arial" w:hAnsi="Arial"/>
          <w:sz w:val="14"/>
          <w:szCs w:val="14"/>
          <w:color w:val="auto"/>
        </w:rPr>
        <w:t>9</w:t>
      </w:r>
      <w:r>
        <w:rPr>
          <w:rFonts w:ascii="Arial" w:cs="Arial" w:eastAsia="Arial" w:hAnsi="Arial"/>
          <w:sz w:val="13"/>
          <w:szCs w:val="13"/>
          <w:color w:val="auto"/>
        </w:rPr>
        <w:t>IL-ßeliege Trial.</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potential safety and efficacy.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88"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TransCon molecules have three components: a parent drug, an inert carrier that protects it, and a linker that temporarily binds the two. When bound, the carrier inactivates and shields the parent drug from clearance. When injected into the body, the unmodified parent drug is released in a predictable manner. Depending upon the type of TransCon carrier we employ, we can design our TransCon prodrugs for sustained localized or systemic delivery.</w:t>
      </w:r>
    </w:p>
    <w:p>
      <w:pPr>
        <w:spacing w:after="0" w:line="8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270" w:right="5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34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Growth Hormone</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TransCon hGH is a long-acting prodrug of somatropin (“hGH”) composed of an unmodified somatropin that is transiently bound to a carrier and proprietary linker. TransCon hGH is designed to maintain the same mode of action as daily therapies by releasing the same recombinant growth hormone molecule, somatropin, as used in extensively proven daily hGH therapy which is the current standard of care for growth hormone deficiency.</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25, 2021, the FDA approved TransCon hGH, known by its brand name SKYTROFA (lonapegsomatropin-tcgd), for the treatment of pediatric patients one year and older who weigh at least 11.5 kg and have growth failure due to inadequate secretion of endogenous growth hormone, also known as GHD. Once-weekly SKYTROFA (lonapegsomatropin-tcgd) is the first FDA approved product that delivers somatropin, or growth hormone, by sustained release over one week.</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FDA approval of SKYTROFA (lonapegsomatropin-tcgd) was based on results from the Phase 3 heiGHt Trial, a 52-week, global, randomized, open-label, active-controlled, parallel-group trial that compared once-weekly TransCon hGH to daily somatropin (Genotropin</w:t>
      </w:r>
      <w:r>
        <w:rPr>
          <w:rFonts w:ascii="Arial" w:cs="Arial" w:eastAsia="Arial" w:hAnsi="Arial"/>
          <w:sz w:val="14"/>
          <w:szCs w:val="14"/>
          <w:color w:val="auto"/>
        </w:rPr>
        <w:t>®</w:t>
      </w:r>
      <w:r>
        <w:rPr>
          <w:rFonts w:ascii="Arial" w:cs="Arial" w:eastAsia="Arial" w:hAnsi="Arial"/>
          <w:sz w:val="17"/>
          <w:szCs w:val="17"/>
          <w:color w:val="auto"/>
        </w:rPr>
        <w:t>) in 161 treatment-naïve children with GHD. The primary endpoint was annualized height velocity (“AHV”) at 52 weeks for weekly SKYTROFA (lonapegsomatropin-tcgd) and the daily hGH treatment groups. Other endpoints included adverse events, injection-site reactions, incidence of anti-hGH antibodies, annualized height velocity, change in height standard deviation score (“SDS”), proportion of subjects with IGF-1 SDS (0.0 to +2.0), PK/PD in subjects &gt; 3 years, and preference for and satisfaction with SKYTROFA (lonapegsomatropin-tcgd).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believe once-weekly SKYTROFA (lonapegsomatropin-tcgd) offers patients benefits compared to daily growth hormone:</w:t>
      </w:r>
    </w:p>
    <w:p>
      <w:pPr>
        <w:spacing w:after="0" w:line="131" w:lineRule="exact"/>
        <w:rPr>
          <w:sz w:val="20"/>
          <w:szCs w:val="20"/>
          <w:color w:val="auto"/>
        </w:rPr>
      </w:pPr>
    </w:p>
    <w:p>
      <w:pPr>
        <w:ind w:left="960" w:right="3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national study has shown 66%, or 2/3 of patients miss more than one injection per week. We believe reducing injection frequency is associated with better adherence and thus may improve height velocity.</w:t>
      </w:r>
    </w:p>
    <w:p>
      <w:pPr>
        <w:spacing w:after="0" w:line="75"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 Phase 3 clinical study, TransCon hGH demonstrated higher AHV compared to daily somatropin with similar safety profile in treatment-naïve children with GHD.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a weekly injection, patients switching from daily injections can experience up to 86% fewer injection days per 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After first removed from a refrigerator, SKYTROFA (lonapegsomatropin-tcgd) can be stored at room temperature for up to six months.</w:t>
      </w:r>
    </w:p>
    <w:p>
      <w:pPr>
        <w:spacing w:after="0" w:line="2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January 12, 2022, the European Commission granted marketing authorization for Lonapegsomatropin Ascendis Pharma (developed under the name TransCon hGH) as a once-weekly subcutaneous injection for the treatment of children and adolescents ages 3 to 18 years with growth failure due to insufficient secretion of endogenous growth hormone.</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September 2020, we filed a Clinical Trial Notification, or CTN, with the Pharmaceuticals and Medical Devices Agency (“PMDA”), in Japan, to initiate our Phase 3 riGHt Trial of lonapegsomatropin for the treatment of pediatric GHD. The primary objective of the riGHt Trial is to evaluate and compare the AHV of 40 Japanese prepubertal treatment naïve children with GHD treated with weekly lonapegsomatropin to that of a commercially available daily somatropin formulation at 52 weeks.</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October 2019, we received Orphan Designation (“OD”) from the European Commission for TransCon hGH for GHD. OD is granted to therapies aimed at the treatment, prevention or diagnosis of a disease that is life-threatening or chronically debilitating, affects no more than five in 10,000 persons in the EU, or the product, without the benefits derived from orphan status, would not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1440" w:right="459" w:bottom="1440" w:gutter="0" w:footer="0" w:header="0"/>
        </w:sectPr>
      </w:pPr>
    </w:p>
    <w:bookmarkStart w:id="22" w:name="page23"/>
    <w:bookmarkEnd w:id="2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generate sufficient return in the EU to justify investment and for which no satisfactory method of diagnosis, prevention, or treatment has been authorized (or if such a method exists, the product would provide significant additional benefit over existing therapies). We received Orphan Drug Designation (“ODD”) from the FDA for TransCon hGH as a treatment for GHD in April 2020.</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we continue to enroll patients in the foresiGHt Trial, a global Phase 3 study with the aim to demonstrate the metabolic benefits of lonapegsomatropin in adults. The ongoing conflict in the region surrounding Ukraine and Russia has impacted our ability to continue clinical trial activities in those countries. As a result, we are now targeting completion of enrollment in the foresiGHt Trial in the fourth quarter of 2022. In Greater China, VISEN completed the patient enrollment of 154 treatment-naïve, prepubertal children for the ongoing Phase 3 pivotal trial of lonapegsomatropin in patients with pediatric GHD. We plan to submit a protocol to FDA in the second quarter of 2022 to evaluate TransCon hGH for Turner Syndrome. In addition, we are also considering other potential indications for TransCon hGH where a long-acting hGH therapy may offer a best-in-class option for patients with rare growth disorders.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Commercialization Strategy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have developed a multi-faceted commercial organization and strategy to optimize U.S. market adoption of SKYTROFA (lonapegsomatropin-tcgd).</w:t>
      </w:r>
    </w:p>
    <w:p>
      <w:pPr>
        <w:spacing w:after="0" w:line="154" w:lineRule="exact"/>
        <w:rPr>
          <w:sz w:val="20"/>
          <w:szCs w:val="20"/>
          <w:color w:val="auto"/>
        </w:rPr>
      </w:pPr>
    </w:p>
    <w:p>
      <w:pPr>
        <w:ind w:left="960" w:right="7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Force: In the United States, the sales team covers approximately 1,400 prescribers who represent approximately 80% of the prescription volume.</w:t>
      </w:r>
    </w:p>
    <w:p>
      <w:pPr>
        <w:spacing w:after="0" w:line="75"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Affairs: Our Medical Affairs organization is educating stakeholders and broadening SKYTROFA (lonapegsomatropin-tcgd) awareness.</w:t>
      </w:r>
    </w:p>
    <w:p>
      <w:pPr>
        <w:spacing w:after="0" w:line="75" w:lineRule="exact"/>
        <w:rPr>
          <w:rFonts w:ascii="Arial" w:cs="Arial" w:eastAsia="Arial" w:hAnsi="Arial"/>
          <w:sz w:val="18"/>
          <w:szCs w:val="18"/>
          <w:color w:val="auto"/>
        </w:rPr>
      </w:pPr>
    </w:p>
    <w:p>
      <w:pPr>
        <w:ind w:left="960" w:right="46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Access: Payor coverage and reimbursement are important factors which can influence market adoption. Recognizing this importance, our Market Access organization has been engaging national and regional payors in an effort to garner reimbursement for SKYTROFA (lonapegsomatropin-tcgd).</w:t>
      </w:r>
    </w:p>
    <w:p>
      <w:pPr>
        <w:spacing w:after="0" w:line="184"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As of December 31, 2021, 369 SKYTROFA prescriptions had been written by 139 prescribers. In addition, 42% of the prescribers had written prescriptions for more than one patient. As of April 29, 2022, 1,231 SKYTROFA prescriptions had been written by 404 prescribers. In addition, approximately 50% of the prescribers had written prescriptions for more than one patient.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Parathyroid Hormone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TransCon Parathyroid Hormone (“PTH”) is an investigational long-acting prodrug of parathyroid hormone that is designed as a novel replacement therapy for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 continuous infusion-like profile with daily administration. With once-daily dosing, we believe this substantial half-life extension of PTH could more closely reflect the physiological levels of PTH observed in healthy individuals thereby maintaining blood calcium levels and normalizing urinary calcium excretion. Pharmacokinetic data from multiple ascending dose cohorts in our Phase 1 trial of TransCon PTH in healthy subjects demonstrated a continuous infusion-like profile of free PTH. By providing steady levels of PTH in the physiological range, we believe TransCon PTH can address the fundamental limitations of short-acting PTH molecules and become a highly differentiated therapy for hypoparathyroidism (“HP”).</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Current conventional therapy for HP patients primarily consists of active vitamin D and oral calcium supplementation. However, since PTH is not present at the kidney to facilitate calcium reabsorption from the urine, the goal of conventional therapy is to maintain serum calcium (“sCa”) levels just below or within the lower part of the normal range and thereby limit as much as possible the damage from excess urinary calcium excretion. Nonetheless, conventional therapy frequently leads to significant sCa fluctuations accompanied by symptomatic hyper- or hypocalcemia. In addition, conventional therapy with active vitamin D and calcium have been shown to contribute to the risk of renal disease.</w:t>
      </w:r>
    </w:p>
    <w:p>
      <w:pPr>
        <w:spacing w:after="0" w:line="1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HP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results have a four-fold increase in the risk of renal disease compared to healthy controls. Patients often experience decreased quality of life. We conducted a survey of 42 patients which found that 100% of subjects reported negative psychological impacts, interference with daily life and impact on physical functioning from HP, and that 76% were either no longer able to work or experienced interference with work productivity.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 w:name="page24"/>
    <w:bookmarkEnd w:id="23"/>
    <w:p>
      <w:pPr>
        <w:jc w:val="both"/>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13, 2022, the Company announced that top-line data from the randomized, double-blind, placebo-controlled portion of its Phase 3 PaTHway Trial of TransCon PTH in adults with hypoparathyroidism demonstrated statistically significant improvement with TransCon PTH compared to control on the primary composite endpoint and all key secondary endpoints. The primary endpoint – defined as serum calcium levels in the normal range (8.3– 10.6 mg/dL) and independence from conventional therapy (active vitamin D and &gt;600 mg/day of calcium supplements) with no increase in prescribed study drug within the 4 weeks prior to the Week 26 visit – was achieved by 78.7% of TransCon PTH-treated patients (48 of 61), compared to 4.8% for patients (1 of 21) in control group (p-value &lt;0.0001).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Highlights of the Phase 3 PaTHway Trial Top-Line Data</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PaTHway Trial is a Phase 3 double-blind, placebo-controlled trial of 82 dosed adults with chronic hypoparathyroidism randomized 3:1 (TransCon PTH:placebo).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Composite Endpoint:</w:t>
      </w:r>
    </w:p>
    <w:p>
      <w:pPr>
        <w:spacing w:after="0" w:line="131" w:lineRule="exact"/>
        <w:rPr>
          <w:sz w:val="20"/>
          <w:szCs w:val="20"/>
          <w:color w:val="auto"/>
        </w:rPr>
      </w:pPr>
    </w:p>
    <w:p>
      <w:pPr>
        <w:ind w:left="96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78.7% of TransCon PTH-treated patients (48 of 61) achieved serum calcium levels in the normal range (8.3–10.6 mg/dL) and independence from therapeutic levels of conventional therapy, compared to 4.8% for patients (1 of 21) in control group (p-value &lt;0.0001).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Pre-Specified Secondary Endpoints:</w:t>
      </w:r>
    </w:p>
    <w:p>
      <w:pPr>
        <w:spacing w:after="0" w:line="131" w:lineRule="exact"/>
        <w:rPr>
          <w:sz w:val="20"/>
          <w:szCs w:val="20"/>
          <w:color w:val="auto"/>
        </w:rPr>
      </w:pPr>
    </w:p>
    <w:p>
      <w:pPr>
        <w:ind w:left="960" w:right="180" w:hanging="424"/>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Statistically significant decrease in patient-reported, disease-specific physical and cognitive symptoms compared to patients in control group, as shown on Hypoparathyroidism Patient Experience Scales (“HPES”) Symptom-Physical domain scores (p-value = 0.0038) and HPES Symptom-Cognitive domain scores (p-value = 0.0055).</w:t>
      </w:r>
    </w:p>
    <w:p>
      <w:pPr>
        <w:spacing w:after="0" w:line="89" w:lineRule="exact"/>
        <w:rPr>
          <w:rFonts w:ascii="Arial" w:cs="Arial" w:eastAsia="Arial" w:hAnsi="Arial"/>
          <w:sz w:val="18"/>
          <w:szCs w:val="18"/>
          <w:color w:val="auto"/>
        </w:rPr>
      </w:pPr>
    </w:p>
    <w:p>
      <w:pPr>
        <w:ind w:left="960" w:right="300" w:hanging="424"/>
        <w:spacing w:after="0" w:line="308"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Statistically significant reduction in patient-reported disease impact compared to patients in control group, as shown on HPES Impact-Physical Functioning domain scores (p-value = 0.0046) and HPES Impact-Daily Life domain scores (p-value = 0.0061).</w:t>
      </w:r>
    </w:p>
    <w:p>
      <w:pPr>
        <w:spacing w:after="0" w:line="51" w:lineRule="exact"/>
        <w:rPr>
          <w:rFonts w:ascii="Arial" w:cs="Arial" w:eastAsia="Arial" w:hAnsi="Arial"/>
          <w:sz w:val="17"/>
          <w:szCs w:val="17"/>
          <w:color w:val="auto"/>
        </w:rPr>
      </w:pPr>
    </w:p>
    <w:p>
      <w:pPr>
        <w:ind w:left="960" w:right="36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Statistically significant improvements in patient-reported physical functioning compared to patients in control group, as shown on the SF-36v2</w:t>
      </w:r>
      <w:r>
        <w:rPr>
          <w:rFonts w:ascii="Arial" w:cs="Arial" w:eastAsia="Arial" w:hAnsi="Arial"/>
          <w:sz w:val="15"/>
          <w:szCs w:val="15"/>
          <w:color w:val="auto"/>
        </w:rPr>
        <w:t>®</w:t>
      </w:r>
      <w:r>
        <w:rPr>
          <w:rFonts w:ascii="Arial" w:cs="Arial" w:eastAsia="Arial" w:hAnsi="Arial"/>
          <w:sz w:val="18"/>
          <w:szCs w:val="18"/>
          <w:color w:val="auto"/>
        </w:rPr>
        <w:t xml:space="preserve"> survey Physical Functioning subscale (p-value = 0.0347).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other Analyses:</w:t>
      </w:r>
    </w:p>
    <w:p>
      <w:pPr>
        <w:spacing w:after="0" w:line="131" w:lineRule="exact"/>
        <w:rPr>
          <w:sz w:val="20"/>
          <w:szCs w:val="20"/>
          <w:color w:val="auto"/>
        </w:rPr>
      </w:pPr>
    </w:p>
    <w:p>
      <w:pPr>
        <w:ind w:left="960" w:right="16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Week 26, 95% of TransCon PTH-treated patients were able to discontinue conventional treatments with therapeutic levels of calcium supplements and active vitamin D.</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PaTHway patients had low levels of bone turnover at baseline. TransCon PTH-treated patients demonstrated increased levels of bone turnover markers at Week 26.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Summary:</w:t>
      </w:r>
    </w:p>
    <w:p>
      <w:pPr>
        <w:spacing w:after="0" w:line="131" w:lineRule="exact"/>
        <w:rPr>
          <w:sz w:val="20"/>
          <w:szCs w:val="20"/>
          <w:color w:val="auto"/>
        </w:rPr>
      </w:pPr>
    </w:p>
    <w:p>
      <w:pPr>
        <w:ind w:left="960" w:right="5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TransCon PTH was generally well tolerated, with no discontinuations related to study drug. Three patients discontinued during the treatment period – 2 from the placebo arm and 1 from the TransCon PTH arm.</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82% of TransCon PTH patients and 100% of patients in control group reported treatment-emergent adverse events (“TEAEs”), the majority of which were Grade 1, 2 in severity.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serious related TEAE in the TransCon PTH arm was reported due to a dosing error.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death in the TransCon PTH arm was assessed as unrelated to study drug.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4" w:name="page25"/>
    <w:bookmarkEnd w:id="24"/>
    <w:p>
      <w:pPr>
        <w:ind w:left="960" w:right="140" w:hanging="424"/>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TransCon PTH-treated patients showed a mean decrease in 24-hour urine calcium excretion into the normal range, from 390 mg/24 hours down to 220 mg/24 hours. Despite a higher mean serum calcium at Week 26, there was a significantly greater decrease in mean 24-hour urine calcium for TransCon PTH-treated patients compared to patients in control group.</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Following an initial blinded study period of 26 weeks, for which top-line data are reported here, all 79 patients completing the blinded period opted to receive treatment with TransCon PTH in the ongoing open-label extension portion of the study for up to 3 years (156 weeks). As of May 1, 2022, all 79 patients continued in the open label extension portion of the PaTHway Trial.</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November 2021, we announced week 84 top-line data from the Phase 2 PaTH Forward Trial. Week 84 results from the PaTH Forward OLE demonstrated:</w:t>
      </w:r>
    </w:p>
    <w:p>
      <w:pPr>
        <w:spacing w:after="0" w:line="76" w:lineRule="exact"/>
        <w:rPr>
          <w:sz w:val="20"/>
          <w:szCs w:val="20"/>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Mean serum calcium levels remained stable and in the normal range.</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study subjects discontinued active vitamin D supplements in the earliest weeks of the trial and have remained off it since then. In addition, 93% of subjects were taking calcium supplements &lt;600 mg per day.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Mean urinary calcium excretion remained stable and in the normal range.</w:t>
      </w:r>
    </w:p>
    <w:p>
      <w:pPr>
        <w:spacing w:after="0" w:line="130"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 No treatment-related serious or severe adverse events occurred, and no treatment-emergent adverse events (“TEAEs”) led to discontinuation of study drug.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Injections were well-tolerated using pen injector planned for commercial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week-58, quality-of-life and bone mineral density data were collected. The data demonstrated:</w:t>
      </w:r>
    </w:p>
    <w:p>
      <w:pPr>
        <w:spacing w:after="0" w:line="131" w:lineRule="exact"/>
        <w:rPr>
          <w:sz w:val="20"/>
          <w:szCs w:val="20"/>
          <w:color w:val="auto"/>
        </w:rPr>
      </w:pPr>
    </w:p>
    <w:p>
      <w:pPr>
        <w:ind w:left="960" w:right="200" w:hanging="4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mean summary and subdomain SF-36 Health Survey scores continued normalization between week 26 and week 58 despite all mean scores starting below norms at baseline.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Bone mineral density Z-scores trended towards normalization and stabilization over 58 weeks in PaTH Forward.</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May 1, 2022, 57 out of the 59 patients continued in the open-label extension portion of the trial, where they receive an individualized maintenance dose of TransCon PTH (6 to 30 µg per day). In addition, all 57 subjects have exceeded two years of follow-up in the PaTH Forward Trial. Two patients withdrew from the trial for reasons unrelated to safety or efficacy of the study drug.</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2021, we submitted a Clinical Trial Notification (“CTN”) to the MHLW for PaTHway Japan Trial, a Phase 3 trial to evaluate the safety, tolerability, and efficacy of TransCon PTH. In July 2021, the Japanese Pharmaceuticals and Medical Devices Agency accepted the CTN for the PaTHway Japan Trial, a single-arm, Phase 3 trial of TransCon PTH in a minimum of 12 Japanese subjects with HP. Subjects will start with an 18 µg dose of TransCon PTH and be followed over a 26-week period during which they will be titrated to an optimal dose. The minimum enrollment target of 12 patients was achieved in April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EC granted orphan designation to TransCon PTH for the treatment of HP.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C-Type Natriuretic Peptide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TransCon C-Type Natriuretic Peptide (“CNP”) is an investigational long-acting prodrug of C-type natriuretic peptide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shorter-acting CNP and CNP analogs in development that result in high C</w:t>
      </w:r>
      <w:r>
        <w:rPr>
          <w:rFonts w:ascii="Arial" w:cs="Arial" w:eastAsia="Arial" w:hAnsi="Arial"/>
          <w:sz w:val="15"/>
          <w:szCs w:val="15"/>
          <w:color w:val="auto"/>
        </w:rPr>
        <w:t>max</w:t>
      </w:r>
      <w:r>
        <w:rPr>
          <w:rFonts w:ascii="Arial" w:cs="Arial" w:eastAsia="Arial" w:hAnsi="Arial"/>
          <w:sz w:val="18"/>
          <w:szCs w:val="18"/>
          <w:color w:val="auto"/>
        </w:rPr>
        <w:t xml:space="preserve"> levels which may cause adverse cardiovascular events. In addition, we expect a more constant CNP exposure at lower C</w:t>
      </w:r>
      <w:r>
        <w:rPr>
          <w:rFonts w:ascii="Arial" w:cs="Arial" w:eastAsia="Arial" w:hAnsi="Arial"/>
          <w:sz w:val="15"/>
          <w:szCs w:val="15"/>
          <w:color w:val="auto"/>
        </w:rPr>
        <w:t>max</w:t>
      </w:r>
      <w:r>
        <w:rPr>
          <w:rFonts w:ascii="Arial" w:cs="Arial" w:eastAsia="Arial" w:hAnsi="Arial"/>
          <w:sz w:val="18"/>
          <w:szCs w:val="18"/>
          <w:color w:val="auto"/>
        </w:rPr>
        <w:t xml:space="preserve"> to correlate with better therapeutic outcomes.</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July 2019, we initiated the Phase 2 ACcomplisH Trial, a randomized, double-blind, placebo-controlled, sequential rising dose trial to evaluate the safety and efficacy of TransCon CNP in approximately 60 children with achondroplasia (ages two to ten years). Subjects are randomized to receive either TransCon CNP or placebo in a 3:1 ratio. The primary efficacy endpoint is annualized height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 w:name="page26"/>
    <w:bookmarkEnd w:id="2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velocity at twelve months. Key secondary and additional endpoints include body proportionality and change in BMI, both evaluated after twelve months of weekly TransCon CNP treatment, and patient reported outcome measures. In December 2021, we announced that enrollment in ACcomplisH Trial was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assessing additional trials evaluating the safety and efficacy of TransCon CNP in ACH patients.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 Center for Drug Evaluation of National Medical Products Administration approved VISEN’s IND application to conduct the ACcomplisH China Trial.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July 2020, we received orphan designation from the EC for TransCon CNP for treatment of achondroplasia.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Products Candidates – Oncology</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currently investigating two clinical-stage product candidates designed to activate the patients’ own immune system to eradicate malignant cells. We believe our approach, if successfully developed, has the potential to optimize the efficacy of systemically administered, clinically validated therapies while limiting adverse effects.</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TransCon product candidates in oncology are designed to provide sustained systemic or intratumoral administration, which we believe could provide potent and durable anti-tumor efficacy. Our nonclinical studies have showed sustained activation of cytotoxic immune cells that resulted in robust anti-tumor responses by TransCon product candidates using infrequent administration.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TLR 7/8 Agonist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TransCon TLR7/8 Agonist is an investigational long-acting prodrug, designed for sustained release of resiquimod, a small molecule agonist of Toll-like receptors (“TLR”) 7 and 8. It is designed to provide sustained and potent activation of the innate immune system in the tumor and tumor draining lymph node and to have a low risk of systemic toxicity for weeks or months following a single intratumoral injection. Enrollment continues in the Phase 1/2 transcendIT-101 Trial for which we submitted an IND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IL-2 ß/</w:t>
      </w:r>
      <w:r>
        <w:rPr>
          <w:rFonts w:ascii="Arial" w:cs="Arial" w:eastAsia="Arial" w:hAnsi="Arial"/>
          <w:sz w:val="18"/>
          <w:szCs w:val="18"/>
          <w:color w:val="auto"/>
        </w:rPr>
        <w:t>g</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TransCon IL-2 ß/g is an investigational long-acting prodrug designed to improve cancer immunotherapy through sustained release of an IL-2 variant that selectively activates the IL-2Rß/g, with minimal binding to IL-2Rα. The Phase 1/2 IL- ßeliege Trial evaluating TransCon IL-2 ß/g monotherapy in patients with advanced cancer is enrolling.</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are evaluating additional TransCon product candidates in nonclinical research studies with potential to enhance anti-tumor immune responses for the treatment of multiple tumor types. We are exploring product candidates using both systemic and intratumoral administration as monotherapies and as components of combination regimens. We believe these programs have the potential to make a positive impact to the lives of many patients with cancer.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from COVID-19 Pandemic</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impacts on our business, and to ensure the safety of our employees, including:</w:t>
      </w:r>
    </w:p>
    <w:p>
      <w:pPr>
        <w:spacing w:after="0" w:line="76" w:lineRule="exact"/>
        <w:rPr>
          <w:sz w:val="20"/>
          <w:szCs w:val="20"/>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home offices, and ensuring proper and secure IT infrastructure to improve the safety and efficiency of the remote work environment;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COVID-19 in relation to logistics and manufacturing at Joint Steering Committees with manufacturing partners.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While COVID-19 had an impact on how we work and conduct our activities, we have managed to avoid significant disruptions to our clinical and manufacturing operations. As a result of governmental restrictions, field-based sales personnel primarily have worked under a remote engagement model with healthcare professionals and patient care organizations, and similarly, patients have not been able to see their physicians. As restrictions ceases, field-based sales personnel have begun in person engagements when interacting with healthcare professionals and patient care organizations, as well as patients having easier access to their physicians. The impact on the commercial product revenue is uncertain and difficult to quantify.</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monitor the risks from this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49" w:lineRule="exact"/>
        <w:rPr>
          <w:sz w:val="20"/>
          <w:szCs w:val="20"/>
          <w:color w:val="auto"/>
        </w:rPr>
      </w:pPr>
    </w:p>
    <w:p>
      <w:pPr>
        <w:jc w:val="center"/>
        <w:ind w:right="520"/>
        <w:spacing w:after="0" w:line="449" w:lineRule="auto"/>
        <w:rPr>
          <w:sz w:val="20"/>
          <w:szCs w:val="20"/>
          <w:color w:val="auto"/>
        </w:rPr>
      </w:pPr>
      <w:r>
        <w:rPr>
          <w:rFonts w:ascii="Arial" w:cs="Arial" w:eastAsia="Arial" w:hAnsi="Arial"/>
          <w:sz w:val="18"/>
          <w:szCs w:val="18"/>
          <w:color w:val="auto"/>
        </w:rPr>
        <w:t>For additional description of COVID-19 related risks, please refer to “Item 3D. Risk Factors”, set forth in our 2021 Annual Report on Form 20-F. 10</w:t>
      </w:r>
    </w:p>
    <w:p>
      <w:pPr>
        <w:sectPr>
          <w:pgSz w:w="11900" w:h="16838" w:orient="portrait"/>
          <w:cols w:equalWidth="0" w:num="1">
            <w:col w:w="11000"/>
          </w:cols>
          <w:pgMar w:left="440" w:top="270"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Three Months Ended March 31, 2022 and 2021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Following the launch of SKYTROFA (lonapegsomatropin-tcgd) in the U.S. in the fourth quarter of 2021, we continued to increase sale of commercial products and we closely monitor the uptake of our products in the market. As of April 29, 2022, over 1,200 patients have been prescribed SKYTROFA since launch.</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continue to see progress in our clinical trials within all our product candidates, and on March 13, 2022 we reported top-line data from our Phase 3 PaTHway Trial of TransCon PTH in adults for hypoparathyroidism, which demonstrated statistically significantly improvement with TransCon PTH compared to control on the primary composite endpoint and all key secondary endpoints.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March 2022, we completed a U.S. $575 million convertible bond offering strengthening our balance sheet and support the runway to create a sustainable leading global biopharma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realized a net loss of €125.5 million for the three months ended March 31, 2022 compared to €62.8 million for the same period last year.</w:t>
      </w:r>
    </w:p>
    <w:p>
      <w:pPr>
        <w:spacing w:after="0" w:line="25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81"/>
        </w:trPr>
        <w:tc>
          <w:tcPr>
            <w:tcW w:w="8960" w:type="dxa"/>
            <w:vAlign w:val="bottom"/>
          </w:tcPr>
          <w:p>
            <w:pPr>
              <w:spacing w:after="0"/>
              <w:rPr>
                <w:sz w:val="15"/>
                <w:szCs w:val="15"/>
                <w:color w:val="auto"/>
              </w:rPr>
            </w:pPr>
          </w:p>
        </w:tc>
        <w:tc>
          <w:tcPr>
            <w:tcW w:w="194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4,246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 (loss)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83,193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88,149</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37,247</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(128,029)</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(124,650)</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13,044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34,430</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(125,257)</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(62,983)</w:t>
            </w:r>
          </w:p>
        </w:tc>
        <w:tc>
          <w:tcPr>
            <w:tcW w:w="12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(125,498)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(62,792)</w:t>
            </w:r>
          </w:p>
        </w:tc>
        <w:tc>
          <w:tcPr>
            <w:tcW w:w="12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for the three months ended March 31, 2022 and 2021.</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81"/>
        </w:trPr>
        <w:tc>
          <w:tcPr>
            <w:tcW w:w="898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Commercial sale of products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Rendering of services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169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Licenses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6"/>
              </w:rPr>
              <w:t>577</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6,828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746</w:t>
            </w:r>
          </w:p>
        </w:tc>
      </w:tr>
      <w:tr>
        <w:trPr>
          <w:trHeight w:val="20"/>
        </w:trPr>
        <w:tc>
          <w:tcPr>
            <w:tcW w:w="8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Revenue for the three months ended March 31, 2022 was €6.8 million, an increase of €6.1 million, compared to €0.7 million for the three months ended March 31, 2021, and comprised commercial sale of SKYTROFA (lonapegsomatropin-tcgd), and sale of clinical supply, rendering of services, and recognition of internal profit deferred from November 2018 when we entered into license agreements with VISEN. The increase in revenue was primarily attributable to the €1.9 million commercial sale of products, and €3.9 million higher sales of clinical supply to VISEN compared to the same period last year. As we did not have any commercial sales of SKYTROFA (lonapegsomatropin-tcgd) in the three months ended March 31, 2021, no revenue from commercial sale of products were reported for that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 of Sales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Cost of sales was €4.2 million for the three months ended March 31, 2022, and comprised cost of commercial products sold and cost of clinical supply delivered to VISEN. As we did not have any commercial sales of SKYTROFA (lonapegsomatropin-tcgd) in the three months ended March 31, 2021, no similar costs were reported for that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specifies our external development costs on our principal development pipeline and other research and development costs.</w:t>
      </w:r>
    </w:p>
    <w:p>
      <w:pPr>
        <w:spacing w:after="0" w:line="25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r>
      <w:tr>
        <w:trPr>
          <w:trHeight w:val="181"/>
        </w:trPr>
        <w:tc>
          <w:tcPr>
            <w:tcW w:w="9060" w:type="dxa"/>
            <w:vAlign w:val="bottom"/>
          </w:tcPr>
          <w:p>
            <w:pPr>
              <w:spacing w:after="0"/>
              <w:rPr>
                <w:sz w:val="15"/>
                <w:szCs w:val="15"/>
                <w:color w:val="auto"/>
              </w:rPr>
            </w:pPr>
          </w:p>
        </w:tc>
        <w:tc>
          <w:tcPr>
            <w:tcW w:w="1300" w:type="dxa"/>
            <w:vAlign w:val="bottom"/>
            <w:gridSpan w:val="4"/>
          </w:tcPr>
          <w:p>
            <w:pPr>
              <w:ind w:left="620"/>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External project costs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TransCon hGH</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19,939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26,578</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TransCon PTH</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8,393</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TransCon CNP</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8,310</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TransCon IL-2 ß/g</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4,191</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TransCon TLR7/8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3,572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project costs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external project costs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51,344</w:t>
            </w:r>
          </w:p>
        </w:tc>
        <w:tc>
          <w:tcPr>
            <w:tcW w:w="6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research and development costs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Employee costs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30,417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31,846</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external costs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2,809</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Depreciation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6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research and development costs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37,828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36,805</w:t>
            </w: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88,149</w:t>
            </w:r>
          </w:p>
        </w:tc>
        <w:tc>
          <w:tcPr>
            <w:tcW w:w="6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Research and development costs were €83.2 million for the three months ended March 31, 2022, a decrease of €4.9 million, or 6%, compared to €88.1 million for the three months ended March 31, 2021.</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External project costs related to TransCon hGH decreased by €6.6 million compared to the same period last year; primarily reflecting lower costs for manufacturing of commercial product supply. Following the U.S. FDA approval of SKYTROFA (lonapegsomatropin-tcgd) on August 25, 2021, manufacturing of commercial product supply is recognized as inventory, whereas such costs were recognized as research and development costs prior to the U.S. FDA approval, and as such included in the external development costs for TransCon hGH for the three months ended March 31, 2021.</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External project costs related to TransCon PTH increased by €3.3 million, primarily reflecting increased costs for commercial manufacturing, partly offset by lower costs of clinical trials and clinical supplies, compared to the same period last year.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External project costs related to TransCon CNP increased by €1.2 million, primarily reflecting an increase in manufacturing costs, partly offset by lower costs for clinical trials and clinical supplies.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External project costs related to our TransCon TLR7/8 Agonist decreased by €1.5 million, reflecting lower manufacturing costs partly offset by higher clinical trial costs.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External project costs related to our TransCon IL-2 ß/g decreased by €2.8 million, primarily reflecting lower manufacturing costs partly offset by higher clinical trial costs.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Other research and development costs increased by €1.0 million, including an increase in personnel costs of €1.2 million, a decrease in non-cash share-based payment of €2.6 million, and increases in travel costs of €0.9 million, depreciation of €0.6 million and other costs of €0.9 million.</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Research and development costs included non-cash share-based payment of €11.6 million for the three months ended March 31, 2022, compared to €14.2 million for the three months ended March 31,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General and Administrative Expenses</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Selling, general and administrative expenses were €47.4 million for the three months ended March 31, 2022, an increase of €10.2 million, or 27%, compared to €37.2 million for the three months ended March 31, 2021. The higher expenses were primarily due to an increase in personnel costs of €5.9 million for additional commercial and administrative personnel, an increase in commercial costs of €3.4 million, and a net increase in other costs allocated to selling, general and administrative expenses of €0.9 million, including an increase in travel costs of €0.8 million.</w:t>
      </w:r>
    </w:p>
    <w:p>
      <w:pPr>
        <w:spacing w:after="0" w:line="1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€8.3 million for the three months ended March 31, 2022, compared to €8.9 million for the three months ended March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loss of associate was €4.9 million for the three months ended March 31, 2022, compared to a net profit of €28.1 million for the three months ended March 31, 2021. The net loss represents our share of net result from VISEN. For the three months ended March 31, 2021, the net profit of associate included a non-cash gain of €42.3 million as a result of the Series B financing in VISEN on January 8, 2021, and the Company’s share of loss of €14.2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Finance income was €13,0 million for the three months ended March 31, 2022, compared to €34.4 million for the three months ended March 31, 2021. Finance expenses were €5.4 million for the three months ended March 31, 2022, compared to €0.9 million for the same period in 2021. As we hold positions of marketable securities and cash and cash equivalents in U.S. Dollars, we are affected by exchange rate fluctuations when reporting our financial results in Euro. For the three months ended March 31, 2022, as well as for the three months ended March 31, 2021, we recognized net exchange rate gains when reporting our U.S. Dollar positions in Euro, reflecting positive exchange rate fluctuations.</w:t>
      </w:r>
    </w:p>
    <w:p>
      <w:pPr>
        <w:spacing w:after="0" w:line="1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Finance expenses for the three months ended March 31, 2022, included €4.2 million transaction costs related to the Convertible Senior Notes (“convertible notes”) financing completed on March 29, 2022, representing the part of the total transaction costs that is attributable to the derivative component of the convertible note financing.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Tax for the three months ended March 31, 2022 was a net tax expense of €0.2 million compared to a net tax credit of €0.2 million for the three months ended March 31, 2021. Taxes for the three months ended March 31, 2022 comprised estimated tax expenses of €0.3 million in one of our U.S. subsidiaries and €0.1 million in our German subsidiary, partly offset by an estimated tax credit of €0.2 million in the group of Danish companies.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these amounted to €1,065 million, and are specified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Carrying</w:t>
            </w:r>
          </w:p>
        </w:tc>
        <w:tc>
          <w:tcPr>
            <w:tcW w:w="92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8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309,542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306,728</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755,643</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1,065,185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1,062,371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w w:val="95"/>
              </w:rPr>
              <w:t>Classification in consolidated statement of financial position</w:t>
            </w:r>
          </w:p>
        </w:tc>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84,909</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978,698</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5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1,065,185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1,062,371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980" w:type="dxa"/>
            <w:vAlign w:val="bottom"/>
            <w:vMerge w:val="restart"/>
          </w:tcPr>
          <w:p>
            <w:pPr>
              <w:jc w:val="right"/>
              <w:ind w:right="3290"/>
              <w:spacing w:after="0"/>
              <w:rPr>
                <w:sz w:val="20"/>
                <w:szCs w:val="20"/>
                <w:color w:val="auto"/>
              </w:rPr>
            </w:pPr>
            <w:r>
              <w:rPr>
                <w:rFonts w:ascii="Arial" w:cs="Arial" w:eastAsia="Arial" w:hAnsi="Arial"/>
                <w:sz w:val="18"/>
                <w:szCs w:val="18"/>
                <w:color w:val="auto"/>
              </w:rPr>
              <w:t>13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0" w:name="page31"/>
    <w:bookmarkEnd w:id="30"/>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Marketable securities have a weighted average duration of 5.7 and 15.5 months, for current (i.e., those maturing within twelve months after the reporting date) and non-current positions, respectively. The entire portfolio of marketable securities (current and non-current) has a weighted average duration of 8.4 months.</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have historically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2021, with net proceeds of $436.5 million (or €367.9 million).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29, 2022, we issued an aggregate principal amount of $575.0 million of fixed rate 2.25% Convertible Senior Notes (the “convertible notes”). The net proceeds from the offering of the convertible notes were $557.9 million (or €503.3 million), after deducting the initial purchasers’ discounts and commissions and expected offering expenses. The convertible notes rank equally in right of payment with all of our existing and future senior unsecured indebtedness and are redeemable by us no earlier than on or after April 7, 2025. Unless earlier converted or redeemed, the convertible notes will mature on April 1, 2028. For further description of the convertible notes, and a maturity analysis (on an un-discounted basis) for non-derivative financial liabilities, recognized in the unaudited condensed consolidated statements of financial position on March 31, 2022, please refer to Note 10, “Financial Assets and Financial Liabilities”.</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used $116.7 million (€105.2 million) of the net proceeds from the offering to repurchase 1,000,000 ADSs representing the Company’s ordinary shares. Total holding of treasury shares is disclosed in Note 9, “Treasury Shares”.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operational expenditures are primarily related to research and development activities and general and administrative activities to support our therapeutic areas within endocrinology and oncology. In addition, expenditures relate to building our sales and marketing capabilities, and inventories, to support the launch of SKYTROFA (lonapegsomatropin-tcgd), as well as preparation for future product launches.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using a liquidity planning tool, to ensure sufficient funds are available to settle liabilities as they become due.</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Based on our current operating plan, we believe that our existing cash, cash equivalents and marketable securities as of March 31, 2022,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description of our cash requirements, expense structure and commitments, please refer to “Item 5B. Liquidity and Capital Resources”, set forth in our 2021 Annual Report on Form 20-F.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1420" w:right="220" w:hanging="331"/>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TransCon hGH and with our other product candidates, if approved, including the cost and timing of building our sales and marketing capabilities;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1" w:name="page32"/>
    <w:bookmarkEnd w:id="31"/>
    <w:p>
      <w:pPr>
        <w:ind w:left="1420" w:right="10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sales price and the availability of adequate third-party coverage and reimbursement for TransCon hGH and for our other product candidates, if approved;</w:t>
      </w:r>
    </w:p>
    <w:p>
      <w:pPr>
        <w:spacing w:after="0" w:line="75" w:lineRule="exact"/>
        <w:rPr>
          <w:rFonts w:ascii="Arial" w:cs="Arial" w:eastAsia="Arial" w:hAnsi="Arial"/>
          <w:sz w:val="18"/>
          <w:szCs w:val="18"/>
          <w:color w:val="auto"/>
        </w:rPr>
      </w:pPr>
    </w:p>
    <w:p>
      <w:pPr>
        <w:ind w:left="1420" w:right="82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30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420" w:right="60" w:hanging="331"/>
        <w:spacing w:after="0" w:line="308" w:lineRule="auto"/>
        <w:tabs>
          <w:tab w:leader="none" w:pos="1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420" w:right="32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4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right="640" w:hanging="331"/>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TransCon hGH and of our other product candidates, if approved, and our efforts to develop and commercialize our other existing product candidates; and</w:t>
      </w:r>
    </w:p>
    <w:p>
      <w:pPr>
        <w:spacing w:after="0" w:line="75" w:lineRule="exact"/>
        <w:rPr>
          <w:rFonts w:ascii="Arial" w:cs="Arial" w:eastAsia="Arial" w:hAnsi="Arial"/>
          <w:sz w:val="18"/>
          <w:szCs w:val="18"/>
          <w:color w:val="auto"/>
        </w:rPr>
      </w:pPr>
    </w:p>
    <w:p>
      <w:pPr>
        <w:ind w:left="1420" w:right="380" w:hanging="331"/>
        <w:spacing w:after="0" w:line="286" w:lineRule="auto"/>
        <w:tabs>
          <w:tab w:leader="none" w:pos="1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 The following table summarizes our cash flows for each of the unaudited three month periods ended March 31, 2022 and 2021:</w:t>
      </w:r>
    </w:p>
    <w:p>
      <w:pPr>
        <w:spacing w:after="0" w:line="19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81"/>
        </w:trPr>
        <w:tc>
          <w:tcPr>
            <w:tcW w:w="8960" w:type="dxa"/>
            <w:vAlign w:val="bottom"/>
          </w:tcPr>
          <w:p>
            <w:pPr>
              <w:spacing w:after="0"/>
              <w:rPr>
                <w:sz w:val="15"/>
                <w:szCs w:val="15"/>
                <w:color w:val="auto"/>
              </w:rPr>
            </w:pPr>
          </w:p>
        </w:tc>
        <w:tc>
          <w:tcPr>
            <w:tcW w:w="1320" w:type="dxa"/>
            <w:vAlign w:val="bottom"/>
            <w:gridSpan w:val="3"/>
          </w:tcPr>
          <w:p>
            <w:pPr>
              <w:ind w:left="640"/>
              <w:spacing w:after="0"/>
              <w:rPr>
                <w:sz w:val="20"/>
                <w:szCs w:val="20"/>
                <w:color w:val="auto"/>
              </w:rPr>
            </w:pPr>
            <w:r>
              <w:rPr>
                <w:rFonts w:ascii="Arial" w:cs="Arial" w:eastAsia="Arial" w:hAnsi="Arial"/>
                <w:sz w:val="14"/>
                <w:szCs w:val="14"/>
                <w:b w:val="1"/>
                <w:bCs w:val="1"/>
                <w:color w:val="auto"/>
                <w:w w:val="99"/>
              </w:rPr>
              <w:t>(EUR’000)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 (used in)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(130,788)</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(81,619)</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(30,117)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397,735</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r>
      <w:tr>
        <w:trPr>
          <w:trHeight w:val="27"/>
        </w:trPr>
        <w:tc>
          <w:tcPr>
            <w:tcW w:w="8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305,489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5"/>
              </w:rPr>
              <w:t>(111,716)</w:t>
            </w:r>
          </w:p>
        </w:tc>
      </w:tr>
      <w:tr>
        <w:trPr>
          <w:trHeight w:val="20"/>
        </w:trPr>
        <w:tc>
          <w:tcPr>
            <w:tcW w:w="8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 (Used in) Operating Activities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Cash flow used in operating activities represents all cash flow from other than those classified as either investing or financing activities. Cash flow used in operating activities includes net loss for the period adjusted for non-cash net financial income and taxes, changes to provisions, other non-cash items and net change in working capital items.</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Net cash used in operating activities for the three months ended March 31, 2022, was €130.8 million. The net loss for the three months ended March 31, 2022, of €125.5 million included non-cash charges of €29.3 million, comprising share-based payment, share of loss in associate, depreciation and amortization, and non-cash net income, including non-cash revenue, net financial income, increase in provisions and taxes, of €5.8 million. The net change in working capital contributed negatively to cash flows by €28.8 million, due to net increases in inventories of €17.0 million, trade payables, accrued expenses and other payables of €4.3 million, contract liabilities of €2.3 million and receivables and prepayments of €5.1 million.</w:t>
      </w:r>
    </w:p>
    <w:p>
      <w:pPr>
        <w:spacing w:after="0" w:line="16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Net cash used in operating activities for the three months ended March 31, 2021, was €81.6 million. The net loss for the three months ended March 31, 2021, of €62.8 million included non-cash charges of €26.8 million, comprising share-based payment, depreciation and amortization, and non-cash net income, including non-cash revenue, net financial income and taxes, of €61.9 million. The net change in working capital contributed positively to cash flows by €16.3 million, primarily due to a net increase in trade payables, accrued expenses and other payables of €17.6 million, an increase in prepayments and receivables of €1.2 million, and a decrease in deferred income of €0.1 million.</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€49.2 million increase in cash flow used in operating activities for the three months ended March 31, 2022 compared to the same period last year, was attributable to increase in net loss for the period adjusted for net financial income, taxes, and non-cash items of €4.1 million, an increase in working capital items of €45.1 million, primarily attributable to inventories of €17.0 million due to the launch of SKYTROFA (lonapegsomatropin-tcgd) and trade payables and accrued expenses of €21.9 million primarily due to increased activity and changes in payment patterns.</w:t>
      </w:r>
    </w:p>
    <w:p>
      <w:pPr>
        <w:sectPr>
          <w:pgSz w:w="11900" w:h="16838" w:orient="portrait"/>
          <w:cols w:equalWidth="0" w:num="1">
            <w:col w:w="11020"/>
          </w:cols>
          <w:pgMar w:left="440" w:top="274" w:right="439" w:bottom="1440"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274" w:right="4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 from / (Used in) Investing Activities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flow from investing activities for the three months ended March 31, 2022, includes capital expenditures for property, plant and equipment of €3.8 million, offset by reimbursement of such acquisition of €3.8 million, and purchase and settlement of marketable securities with a maturity of three months or less after the date of acquisition (trade-date) contributing positively to the cash position by €38.6 million.</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Cash flow used in investing activities for the three months ended March 31, 2021, of €30.1 million were related to the acquisition of marketable securities of €39.4 million and the settlement of marketable securities of €24.1 million, to Series B investment in VISEN of €10.2 million, to the acquisition of property, plant and equipment of €4.0 million, primarily related to leasehold improvements and equipment for use in the United States, and to the acquisition of software of €0.5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€68.6 million increase in cash flow from investing activities for the three months ended March 31, 2022 compared to the same period last year, was primarily attributable to:</w:t>
      </w:r>
    </w:p>
    <w:p>
      <w:pPr>
        <w:spacing w:after="0" w:line="76" w:lineRule="exact"/>
        <w:rPr>
          <w:sz w:val="20"/>
          <w:szCs w:val="20"/>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net settlements of marketable securities of €53.9 million in line with our liquidity management strategy;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reimbursement from property, plant and equipment of €4.0 million primarily related to leasehold improvements for our U.S. facilities; and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B investment in VISEN of €10.2 million made in January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 (Used in) Financing Activities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Cash flow from financing activities for the three months ended March 31, 2022 of €397.7 million includes €1.9 million payment of principal portion of lease liabilities, €504.5 million in net proceeds from issuance of convertible notes, €0.4 million in proceeds from warrants exercises and €105.2 million acquisition of treasury shares.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flows from financing activities for the three months ended March 31, 2021 of €20 thousand were comprised of €2.0 million in net proceeds from warrant exercises in March 2021, offset by payments on lease liabilities of €2.0 million.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€397.8 million increase in cash flow from financing activities for the three months ended March 31, 2022 compared to the same period last year was primarily attributable to net proceeds from issuance of convertible notes, net of paid transaction costs, of €504.5 million, partly offset by acquisition of treasury shares of €105.2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 For a description of our exposure to liquidity risks and processes for managing these risks, please refer to “Liquidity and Capital Resources”, set forth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were in U.S. Dollars. In addition, our outstanding convertible notes, due April 2028, are in U.S. Dollars. We seek to minimize our exchange rate risk by maintaining cash positions in the currencies in which we expect to incur the majority of our future expenses and we make payments from those positions.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 Risk</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Outstanding convertible notes comprise a 2.25% coupon fixed rate structure. In addition,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Derivative liabilities are measured at fair value through profit or loss. Accordingly, since the fair value is exposed from the development in interest rates, the profit or loss is exposed to volatility from such development.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corporate bonds and agency bonds. Our investment policy, approved by the Board of Directors, only allows investment in marketable securities having investment grade credit-ratings, assigned by international credit-rating agencies. Accordingly, the risk from probability of default is low. 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exposed from the development in the Company’s own share price, when remeasuring derivative liabilities at their fair value. Derivative liabilities relate to foreign currency conversion options embedded in the convertible notes, and are measured at fair value through profit or loss. Fair value cannot be measured based on quoted prices in active markets, or other observable input, and accordingly, derivative liabilities are measured by use of valuation techniques in form of the Black-Scholes Option Pricing model, where the pricing is exposed from changes in the Company’s own share price. Sensitivity analysis over derivative liabilities is disclosed in Note 10, “Financial Assets and Financial Liabilities.”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2022-05-11T15:16:28Z</dcterms:created>
  <dcterms:modified xsi:type="dcterms:W3CDTF">2022-05-11T15:16:28Z</dcterms:modified>
</cp:coreProperties>
</file>