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293370</wp:posOffset>
            </wp:positionH>
            <wp:positionV relativeFrom="page">
              <wp:posOffset>165735</wp:posOffset>
            </wp:positionV>
            <wp:extent cx="697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page">
              <wp:posOffset>293370</wp:posOffset>
            </wp:positionH>
            <wp:positionV relativeFrom="page">
              <wp:posOffset>208280</wp:posOffset>
            </wp:positionV>
            <wp:extent cx="697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0395" cy="8255"/>
                    </a:xfrm>
                    <a:prstGeom prst="rect">
                      <a:avLst/>
                    </a:prstGeom>
                    <a:noFill/>
                  </pic:spPr>
                </pic:pic>
              </a:graphicData>
            </a:graphic>
          </wp:anchor>
        </w:drawing>
        <w:t>UNITED STATES</w:t>
      </w:r>
    </w:p>
    <w:p>
      <w:pPr>
        <w:spacing w:after="0" w:line="28"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SECURITIES AND EXCHANGE COMMISSION</w:t>
      </w:r>
    </w:p>
    <w:p>
      <w:pPr>
        <w:ind w:left="43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226060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245110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left="2280" w:right="1020"/>
        <w:spacing w:after="0" w:line="278" w:lineRule="auto"/>
        <w:rPr>
          <w:sz w:val="20"/>
          <w:szCs w:val="20"/>
          <w:color w:val="auto"/>
        </w:rPr>
      </w:pPr>
      <w:r>
        <w:rPr>
          <w:rFonts w:ascii="Arial" w:cs="Arial" w:eastAsia="Arial" w:hAnsi="Arial"/>
          <w:sz w:val="20"/>
          <w:szCs w:val="20"/>
          <w:b w:val="1"/>
          <w:bCs w:val="1"/>
          <w:color w:val="auto"/>
        </w:rPr>
        <w:t>REPORT OF FOREIGN PRIVATE ISSUER PURSUANT TO SECTION 13a-16 OR 15d-16 UNDER THE SECURITIES EXCHANGE ACT OF 1934</w:t>
      </w:r>
    </w:p>
    <w:p>
      <w:pPr>
        <w:spacing w:after="0" w:line="15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For the month of November, 2020</w:t>
      </w:r>
    </w:p>
    <w:p>
      <w:pPr>
        <w:spacing w:after="0" w:line="22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238760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Ascendis Pharma A/S</w:t>
      </w:r>
    </w:p>
    <w:p>
      <w:pPr>
        <w:spacing w:after="0" w:line="4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234950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DK-2900 Hellerup</w:t>
      </w:r>
    </w:p>
    <w:p>
      <w:pPr>
        <w:spacing w:after="0" w:line="8"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Denmark</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2752090</wp:posOffset>
            </wp:positionH>
            <wp:positionV relativeFrom="paragraph">
              <wp:posOffset>217805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2" w:lineRule="exact"/>
        <w:rPr>
          <w:sz w:val="24"/>
          <w:szCs w:val="24"/>
          <w:color w:val="auto"/>
        </w:rPr>
      </w:pPr>
    </w:p>
    <w:p>
      <w:pPr>
        <w:ind w:left="42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697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237490</wp:posOffset>
            </wp:positionV>
            <wp:extent cx="697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ectPr>
          <w:pgSz w:w="11900" w:h="16838" w:orient="portrait"/>
          <w:cols w:equalWidth="0" w:num="1">
            <w:col w:w="9999"/>
          </w:cols>
          <w:pgMar w:left="460" w:top="36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25400"/>
                    </a:xfrm>
                    <a:prstGeom prst="rect">
                      <a:avLst/>
                    </a:prstGeom>
                    <a:noFill/>
                  </pic:spPr>
                </pic:pic>
              </a:graphicData>
            </a:graphic>
          </wp:anchor>
        </w:drawing>
        <w:drawing>
          <wp:anchor simplePos="0" relativeHeight="251657728" behindDoc="1" locked="0" layoutInCell="0" allowOverlap="1">
            <wp:simplePos x="0" y="0"/>
            <wp:positionH relativeFrom="page">
              <wp:posOffset>293370</wp:posOffset>
            </wp:positionH>
            <wp:positionV relativeFrom="page">
              <wp:posOffset>191135</wp:posOffset>
            </wp:positionV>
            <wp:extent cx="697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page">
              <wp:posOffset>293370</wp:posOffset>
            </wp:positionH>
            <wp:positionV relativeFrom="page">
              <wp:posOffset>234315</wp:posOffset>
            </wp:positionV>
            <wp:extent cx="6970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page">
              <wp:posOffset>293370</wp:posOffset>
            </wp:positionH>
            <wp:positionV relativeFrom="page">
              <wp:posOffset>455930</wp:posOffset>
            </wp:positionV>
            <wp:extent cx="6970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70395" cy="8255"/>
                    </a:xfrm>
                    <a:prstGeom prst="rect">
                      <a:avLst/>
                    </a:prstGeom>
                    <a:noFill/>
                  </pic:spPr>
                </pic:pic>
              </a:graphicData>
            </a:graphic>
          </wp:anchor>
        </w:drawing>
        <w:t>INCORPORATION BY REFERENCE</w:t>
      </w:r>
    </w:p>
    <w:p>
      <w:pPr>
        <w:spacing w:after="0" w:line="2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Numbers 333-228576, 333-203040, 333-210810, 333-211512, 333-213412, 333-214843 and 333-216883) and Form F-3 (Registration Numbers 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179705</wp:posOffset>
            </wp:positionV>
            <wp:extent cx="6970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039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Furnished as exhibits to this Report on Form 6-K is information regarding the Company’s financial results for the fiscal quarter ended September 30,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260" w:type="dxa"/>
            <w:vAlign w:val="bottom"/>
            <w:gridSpan w:val="2"/>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80" w:type="dxa"/>
            <w:vAlign w:val="bottom"/>
            <w:shd w:val="clear" w:color="auto" w:fill="000000"/>
          </w:tcPr>
          <w:p>
            <w:pPr>
              <w:spacing w:after="0"/>
              <w:rPr>
                <w:sz w:val="2"/>
                <w:szCs w:val="2"/>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Interim Financial Statements.</w:t>
              </w:r>
            </w:hyperlink>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260" w:type="dxa"/>
            <w:vAlign w:val="bottom"/>
            <w:gridSpan w:val="2"/>
          </w:tcPr>
          <w:p>
            <w:pPr>
              <w:ind w:left="3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260" w:type="dxa"/>
            <w:vAlign w:val="bottom"/>
            <w:gridSpan w:val="2"/>
          </w:tcPr>
          <w:p>
            <w:pPr>
              <w:ind w:left="3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Press Release dated November 11, 2020.</w:t>
              </w:r>
            </w:hyperlink>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80"/>
              <w:spacing w:after="0"/>
              <w:rPr>
                <w:sz w:val="20"/>
                <w:szCs w:val="20"/>
                <w:color w:val="auto"/>
              </w:rPr>
            </w:pPr>
            <w:r>
              <w:rPr>
                <w:rFonts w:ascii="Arial" w:cs="Arial" w:eastAsia="Arial" w:hAnsi="Arial"/>
                <w:sz w:val="18"/>
                <w:szCs w:val="18"/>
                <w:color w:val="auto"/>
              </w:rPr>
              <w:t>XBRL Instance Document.</w:t>
            </w: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026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026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026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rPr>
              <w:t>101.IAB</w:t>
            </w:r>
          </w:p>
        </w:tc>
        <w:tc>
          <w:tcPr>
            <w:tcW w:w="1026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Labels Linkbase Document.</w:t>
            </w:r>
          </w:p>
        </w:tc>
      </w:tr>
      <w:tr>
        <w:trPr>
          <w:trHeight w:val="32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026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5"/>
        </w:trPr>
        <w:tc>
          <w:tcPr>
            <w:tcW w:w="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tcPr>
          <w:p>
            <w:pPr>
              <w:spacing w:after="0"/>
              <w:rPr>
                <w:sz w:val="22"/>
                <w:szCs w:val="22"/>
                <w:color w:val="auto"/>
              </w:rPr>
            </w:pPr>
          </w:p>
        </w:tc>
      </w:tr>
      <w:tr>
        <w:trPr>
          <w:trHeight w:val="47"/>
        </w:trPr>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80" w:type="dxa"/>
            <w:vAlign w:val="bottom"/>
            <w:tcBorders>
              <w:bottom w:val="single" w:sz="8" w:color="auto"/>
            </w:tcBorders>
          </w:tcPr>
          <w:p>
            <w:pPr>
              <w:spacing w:after="0"/>
              <w:rPr>
                <w:sz w:val="4"/>
                <w:szCs w:val="4"/>
                <w:color w:val="auto"/>
              </w:rPr>
            </w:pPr>
          </w:p>
        </w:tc>
      </w:tr>
    </w:tbl>
    <w:p>
      <w:pPr>
        <w:sectPr>
          <w:pgSz w:w="11900" w:h="16838" w:orient="portrait"/>
          <w:cols w:equalWidth="0" w:num="1">
            <w:col w:w="10980"/>
          </w:cols>
          <w:pgMar w:left="460" w:top="928"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25400"/>
                    </a:xfrm>
                    <a:prstGeom prst="rect">
                      <a:avLst/>
                    </a:prstGeom>
                    <a:noFill/>
                  </pic:spPr>
                </pic:pic>
              </a:graphicData>
            </a:graphic>
          </wp:anchor>
        </w:drawing>
        <w:t>SIGNATURES</w:t>
      </w:r>
    </w:p>
    <w:p>
      <w:pPr>
        <w:spacing w:after="0" w:line="22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240" w:type="dxa"/>
            <w:vAlign w:val="bottom"/>
            <w:gridSpan w:val="2"/>
          </w:tcPr>
          <w:p>
            <w:pPr>
              <w:ind w:left="1860"/>
              <w:spacing w:after="0"/>
              <w:rPr>
                <w:sz w:val="20"/>
                <w:szCs w:val="20"/>
                <w:color w:val="auto"/>
              </w:rPr>
            </w:pPr>
            <w:r>
              <w:rPr>
                <w:rFonts w:ascii="Arial" w:cs="Arial" w:eastAsia="Arial" w:hAnsi="Arial"/>
                <w:sz w:val="18"/>
                <w:szCs w:val="18"/>
                <w:b w:val="1"/>
                <w:bCs w:val="1"/>
                <w:color w:val="auto"/>
              </w:rPr>
              <w:t>Ascendis Pharma A/S</w:t>
            </w:r>
          </w:p>
        </w:tc>
      </w:tr>
      <w:tr>
        <w:trPr>
          <w:trHeight w:val="430"/>
        </w:trPr>
        <w:tc>
          <w:tcPr>
            <w:tcW w:w="3740" w:type="dxa"/>
            <w:vAlign w:val="bottom"/>
          </w:tcPr>
          <w:p>
            <w:pPr>
              <w:spacing w:after="0"/>
              <w:rPr>
                <w:sz w:val="20"/>
                <w:szCs w:val="20"/>
                <w:color w:val="auto"/>
              </w:rPr>
            </w:pPr>
            <w:r>
              <w:rPr>
                <w:rFonts w:ascii="Arial" w:cs="Arial" w:eastAsia="Arial" w:hAnsi="Arial"/>
                <w:sz w:val="18"/>
                <w:szCs w:val="18"/>
                <w:color w:val="auto"/>
              </w:rPr>
              <w:t>Date: November 12, 2020</w:t>
            </w:r>
          </w:p>
        </w:tc>
        <w:tc>
          <w:tcPr>
            <w:tcW w:w="7240" w:type="dxa"/>
            <w:vAlign w:val="bottom"/>
            <w:gridSpan w:val="2"/>
          </w:tcPr>
          <w:p>
            <w:pPr>
              <w:ind w:left="1860"/>
              <w:spacing w:after="0"/>
              <w:rPr>
                <w:sz w:val="20"/>
                <w:szCs w:val="20"/>
                <w:color w:val="auto"/>
              </w:rPr>
            </w:pPr>
            <w:r>
              <w:rPr>
                <w:rFonts w:ascii="Arial" w:cs="Arial" w:eastAsia="Arial" w:hAnsi="Arial"/>
                <w:sz w:val="18"/>
                <w:szCs w:val="18"/>
                <w:color w:val="auto"/>
              </w:rPr>
              <w:t>By:  /s/ Michael Wolff Jensen</w:t>
            </w:r>
          </w:p>
        </w:tc>
      </w:tr>
      <w:tr>
        <w:trPr>
          <w:trHeight w:val="20"/>
        </w:trPr>
        <w:tc>
          <w:tcPr>
            <w:tcW w:w="3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181"/>
        </w:trPr>
        <w:tc>
          <w:tcPr>
            <w:tcW w:w="3740" w:type="dxa"/>
            <w:vAlign w:val="bottom"/>
          </w:tcPr>
          <w:p>
            <w:pPr>
              <w:spacing w:after="0"/>
              <w:rPr>
                <w:sz w:val="15"/>
                <w:szCs w:val="15"/>
                <w:color w:val="auto"/>
              </w:rPr>
            </w:pPr>
          </w:p>
        </w:tc>
        <w:tc>
          <w:tcPr>
            <w:tcW w:w="7240" w:type="dxa"/>
            <w:vAlign w:val="bottom"/>
            <w:gridSpan w:val="2"/>
          </w:tcPr>
          <w:p>
            <w:pPr>
              <w:ind w:left="1860"/>
              <w:spacing w:after="0" w:line="181" w:lineRule="exact"/>
              <w:rPr>
                <w:sz w:val="20"/>
                <w:szCs w:val="20"/>
                <w:color w:val="auto"/>
              </w:rPr>
            </w:pPr>
            <w:r>
              <w:rPr>
                <w:rFonts w:ascii="Arial" w:cs="Arial" w:eastAsia="Arial" w:hAnsi="Arial"/>
                <w:sz w:val="18"/>
                <w:szCs w:val="18"/>
                <w:color w:val="auto"/>
              </w:rPr>
              <w:t>Michael Wolff Jensen</w:t>
            </w:r>
          </w:p>
        </w:tc>
      </w:tr>
      <w:tr>
        <w:trPr>
          <w:trHeight w:val="230"/>
        </w:trPr>
        <w:tc>
          <w:tcPr>
            <w:tcW w:w="3740" w:type="dxa"/>
            <w:vAlign w:val="bottom"/>
          </w:tcPr>
          <w:p>
            <w:pPr>
              <w:spacing w:after="0"/>
              <w:rPr>
                <w:sz w:val="19"/>
                <w:szCs w:val="19"/>
                <w:color w:val="auto"/>
              </w:rPr>
            </w:pPr>
          </w:p>
        </w:tc>
        <w:tc>
          <w:tcPr>
            <w:tcW w:w="7240" w:type="dxa"/>
            <w:vAlign w:val="bottom"/>
            <w:gridSpan w:val="2"/>
          </w:tcPr>
          <w:p>
            <w:pPr>
              <w:ind w:left="1860"/>
              <w:spacing w:after="0"/>
              <w:rPr>
                <w:sz w:val="20"/>
                <w:szCs w:val="20"/>
                <w:color w:val="auto"/>
              </w:rPr>
            </w:pPr>
            <w:r>
              <w:rPr>
                <w:rFonts w:ascii="Arial" w:cs="Arial" w:eastAsia="Arial" w:hAnsi="Arial"/>
                <w:sz w:val="18"/>
                <w:szCs w:val="18"/>
                <w:color w:val="auto"/>
              </w:rPr>
              <w:t>Chairman and Senior Vice President, Chief Legal Officer</w:t>
            </w:r>
          </w:p>
        </w:tc>
      </w:tr>
    </w:tbl>
    <w:p>
      <w:pPr>
        <w:sectPr>
          <w:pgSz w:w="11900" w:h="16838" w:orient="portrait"/>
          <w:cols w:equalWidth="0" w:num="1">
            <w:col w:w="10980"/>
          </w:cols>
          <w:pgMar w:left="460" w:top="269" w:right="4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538"/>
        </w:trPr>
        <w:tc>
          <w:tcPr>
            <w:tcW w:w="10020" w:type="dxa"/>
            <w:vAlign w:val="bottom"/>
          </w:tcPr>
          <w:p>
            <w:pPr>
              <w:ind w:left="4440"/>
              <w:spacing w:after="0"/>
              <w:rPr>
                <w:sz w:val="20"/>
                <w:szCs w:val="20"/>
                <w:color w:val="auto"/>
              </w:rPr>
            </w:pPr>
            <w:r>
              <w:rPr>
                <w:rFonts w:ascii="Arial" w:cs="Arial" w:eastAsia="Arial" w:hAnsi="Arial"/>
                <w:sz w:val="18"/>
                <w:szCs w:val="18"/>
                <w:b w:val="1"/>
                <w:bCs w:val="1"/>
                <w:color w:val="auto"/>
              </w:rPr>
              <w:t>ASCENDIS PHARMA A/S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0020" w:type="dxa"/>
            <w:vAlign w:val="bottom"/>
          </w:tcPr>
          <w:p>
            <w:pPr>
              <w:ind w:left="158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020" w:type="dxa"/>
            <w:vAlign w:val="bottom"/>
            <w:vMerge w:val="restart"/>
          </w:tcPr>
          <w:p>
            <w:pPr>
              <w:spacing w:after="0"/>
              <w:rPr>
                <w:sz w:val="20"/>
                <w:szCs w:val="20"/>
                <w:color w:val="auto"/>
              </w:rPr>
            </w:pPr>
            <w:r>
              <w:rPr>
                <w:rFonts w:ascii="Arial" w:cs="Arial" w:eastAsia="Arial" w:hAnsi="Arial"/>
                <w:sz w:val="18"/>
                <w:szCs w:val="18"/>
                <w:color w:val="auto"/>
                <w:w w:val="90"/>
              </w:rPr>
              <w:t>Unaudited Condensed Consolidated Interim Statements of Profit or Loss and Other Comprehensive Income / (Loss) for the Three and Nine</w:t>
            </w:r>
          </w:p>
        </w:tc>
        <w:tc>
          <w:tcPr>
            <w:tcW w:w="9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0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020" w:type="dxa"/>
            <w:vAlign w:val="bottom"/>
          </w:tcPr>
          <w:p>
            <w:pPr>
              <w:ind w:left="180"/>
              <w:spacing w:after="0"/>
              <w:rPr>
                <w:sz w:val="20"/>
                <w:szCs w:val="20"/>
                <w:color w:val="auto"/>
              </w:rPr>
            </w:pPr>
            <w:r>
              <w:rPr>
                <w:rFonts w:ascii="Arial" w:cs="Arial" w:eastAsia="Arial" w:hAnsi="Arial"/>
                <w:sz w:val="18"/>
                <w:szCs w:val="18"/>
                <w:color w:val="auto"/>
              </w:rPr>
              <w:t>Months Ended September 30, 2020 and 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20" w:type="dxa"/>
            <w:vAlign w:val="bottom"/>
          </w:tcPr>
          <w:p>
            <w:pPr>
              <w:spacing w:after="0"/>
              <w:rPr>
                <w:sz w:val="20"/>
                <w:szCs w:val="20"/>
                <w:color w:val="auto"/>
              </w:rPr>
            </w:pPr>
            <w:r>
              <w:rPr>
                <w:rFonts w:ascii="Arial" w:cs="Arial" w:eastAsia="Arial" w:hAnsi="Arial"/>
                <w:sz w:val="18"/>
                <w:szCs w:val="18"/>
                <w:color w:val="auto"/>
                <w:w w:val="97"/>
              </w:rPr>
              <w:t>Unaudited Condensed Consolidated Interim Statements of Financial Position as of September 30, 2020 and December 31, 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2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Changes in Equity at September 30, 2020 and 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20" w:type="dxa"/>
            <w:vAlign w:val="bottom"/>
          </w:tcPr>
          <w:p>
            <w:pPr>
              <w:spacing w:after="0"/>
              <w:rPr>
                <w:sz w:val="20"/>
                <w:szCs w:val="20"/>
                <w:color w:val="auto"/>
              </w:rPr>
            </w:pPr>
            <w:r>
              <w:rPr>
                <w:rFonts w:ascii="Arial" w:cs="Arial" w:eastAsia="Arial" w:hAnsi="Arial"/>
                <w:sz w:val="18"/>
                <w:szCs w:val="18"/>
                <w:color w:val="auto"/>
                <w:w w:val="99"/>
              </w:rPr>
              <w:t>Unaudited Condensed Consolidated Interim Cash Flow Statements for the Nine Months Ended September 30, 2020 and 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1" w:right="459" w:bottom="1440" w:gutter="0" w:footer="0" w:header="0"/>
        </w:sectPr>
      </w:pPr>
    </w:p>
    <w:bookmarkStart w:id="4" w:name="page5"/>
    <w:bookmarkEnd w:id="4"/>
    <w:p>
      <w:pPr>
        <w:jc w:val="center"/>
        <w:ind w:righ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25400"/>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and Comprehensive Income / (Loss) for the Three and Nine Months Ended September 30</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Notes</w:t>
            </w: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860" w:type="dxa"/>
            <w:vAlign w:val="bottom"/>
            <w:tcBorders>
              <w:top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1"/>
              <w:spacing w:after="0" w:line="141"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top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2"/>
                <w:szCs w:val="12"/>
                <w:color w:val="auto"/>
              </w:rPr>
            </w:pPr>
          </w:p>
        </w:tc>
        <w:tc>
          <w:tcPr>
            <w:tcW w:w="1940" w:type="dxa"/>
            <w:vAlign w:val="bottom"/>
            <w:tcBorders>
              <w:top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Interim Statement of Profit or Loss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Revenue</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(46,258)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(185,152)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(141,343)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(17,523)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(56,243)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(31,396)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(78,825)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(54,015)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(234,977)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(161,871)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(1,338)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(6,501)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Finance expenses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(39,970)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(40,391)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(121,760)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(25,174)</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(280,192)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(137,850)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(121,741)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(25,113)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(279,990)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(137,654)</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(121,741)</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(25,113)</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(279,990)</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0"/>
              </w:rPr>
              <w:t xml:space="preserve">Number of shares used for calculation (basic and diluted) </w:t>
            </w:r>
            <w:r>
              <w:rPr>
                <w:rFonts w:ascii="Arial" w:cs="Arial" w:eastAsia="Arial" w:hAnsi="Arial"/>
                <w:sz w:val="15"/>
                <w:szCs w:val="15"/>
                <w:color w:val="auto"/>
                <w:w w:val="90"/>
              </w:rPr>
              <w:t>(1)</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52,715,204</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47,590,837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49,647,471</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46,066,493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(EUR’000)</w:t>
            </w:r>
          </w:p>
        </w:tc>
        <w:tc>
          <w:tcPr>
            <w:tcW w:w="2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(EUR’000)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86"/>
              </w:rPr>
              <w:t>Consolidated Interim Statement of Comprehensive Income</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(121,741)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(25,113)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(279,990)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(137,654)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i w:val="1"/>
                <w:iCs w:val="1"/>
                <w:color w:val="auto"/>
                <w:w w:val="90"/>
              </w:rPr>
              <w:t>Items that may be reclassified subsequently to profit or loss:</w:t>
            </w: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Exchange differences on translating foreign operations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Total comprehensive income / (loss) for the period, net of</w:t>
            </w: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tax</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(121,816)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(25,076)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(280,126)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(137,652)</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(121,816)</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(25,076)</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(280,126)</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25" w:right="420" w:hanging="425"/>
        <w:spacing w:after="0" w:line="258" w:lineRule="auto"/>
        <w:tabs>
          <w:tab w:leader="none" w:pos="425" w:val="left"/>
        </w:tabs>
        <w:numPr>
          <w:ilvl w:val="0"/>
          <w:numId w:val="1"/>
        </w:numPr>
        <w:rPr>
          <w:rFonts w:ascii="Arial" w:cs="Arial" w:eastAsia="Arial" w:hAnsi="Arial"/>
          <w:sz w:val="15"/>
          <w:szCs w:val="15"/>
          <w:color w:val="auto"/>
        </w:rPr>
      </w:pPr>
      <w:r>
        <w:rPr>
          <w:rFonts w:ascii="Arial" w:cs="Arial" w:eastAsia="Arial" w:hAnsi="Arial"/>
          <w:sz w:val="18"/>
          <w:szCs w:val="18"/>
          <w:color w:val="auto"/>
        </w:rPr>
        <w:t>A total of 5,527,218 warrants outstanding as of September 30, 2020 can potentially dilute earnings per share in the future but have not been included in the calculation of diluted earnings per share because they are antidilutive for the periods presented. Similarly, a total of 5,138,389 warrants outstanding as of September 30, 2019 are also considered antidilutive for the periods presented and have not been included in the calculation.</w:t>
      </w:r>
    </w:p>
    <w:p>
      <w:pPr>
        <w:sectPr>
          <w:pgSz w:w="11900" w:h="16838" w:orient="portrait"/>
          <w:cols w:equalWidth="0" w:num="1">
            <w:col w:w="10985"/>
          </w:cols>
          <w:pgMar w:left="455" w:top="269" w:right="4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25400"/>
                    </a:xfrm>
                    <a:prstGeom prst="rect">
                      <a:avLst/>
                    </a:prstGeom>
                    <a:noFill/>
                  </pic:spPr>
                </pic:pic>
              </a:graphicData>
            </a:graphic>
          </wp:anchor>
        </w:drawing>
        <w:t>Unaudited Condensed Consolidated Interim Statements of Financial Position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Notes</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122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60" w:type="dxa"/>
            <w:vAlign w:val="bottom"/>
            <w:tcBorders>
              <w:top w:val="single" w:sz="8" w:color="auto"/>
            </w:tcBorders>
            <w:gridSpan w:val="3"/>
          </w:tcPr>
          <w:p>
            <w:pPr>
              <w:jc w:val="right"/>
              <w:ind w:right="610"/>
              <w:spacing w:after="0" w:line="141"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47,325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Deposits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92,523</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Trade receivables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Prepayments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15,266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Marketable securities</w:t>
            </w:r>
          </w:p>
        </w:tc>
        <w:tc>
          <w:tcPr>
            <w:tcW w:w="3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166,343</w:t>
            </w:r>
          </w:p>
        </w:tc>
        <w:tc>
          <w:tcPr>
            <w:tcW w:w="3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763,454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953,601</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1,046,124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Share capital</w:t>
            </w:r>
          </w:p>
        </w:tc>
        <w:tc>
          <w:tcPr>
            <w:tcW w:w="3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951,585</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Lease liabilities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26,952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30,112</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Lease liabilities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38,108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Income taxes payable</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64,427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94,539</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1,046,124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460" w:top="269"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25400"/>
                    </a:xfrm>
                    <a:prstGeom prst="rect">
                      <a:avLst/>
                    </a:prstGeom>
                    <a:noFill/>
                  </pic:spPr>
                </pic:pic>
              </a:graphicData>
            </a:graphic>
          </wp:anchor>
        </w:drawing>
        <w:t>Unaudited Condensed Consolidated Interim Statements of Changes in Equity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Distributable Equity</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Foreign</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Share-</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Currency</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based</w:t>
            </w: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Translation</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Payment</w:t>
            </w: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Premium</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237"/>
              <w:spacing w:after="0" w:line="141" w:lineRule="exact"/>
              <w:rPr>
                <w:sz w:val="20"/>
                <w:szCs w:val="20"/>
                <w:color w:val="auto"/>
              </w:rPr>
            </w:pPr>
            <w:r>
              <w:rPr>
                <w:rFonts w:ascii="Arial" w:cs="Arial" w:eastAsia="Arial" w:hAnsi="Arial"/>
                <w:sz w:val="14"/>
                <w:szCs w:val="14"/>
                <w:b w:val="1"/>
                <w:bCs w:val="1"/>
                <w:color w:val="auto"/>
              </w:rPr>
              <w:t>(EUR’000)</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2020</w:t>
            </w: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w w:val="88"/>
              </w:rPr>
              <w:t>6,443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1,122,097</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79,931</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(611,323)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for the period</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(279,990)</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3"/>
              </w:rPr>
              <w:t>(279,990)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2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(279,990)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(280,126</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38,781</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38,781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86"/>
              </w:rPr>
              <w:t>729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(31,373)</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(31,373)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September 30, 2020</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7,172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1,717,184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118,712</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(891,313)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Distributable Equity</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Foreign</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Share-</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Currency</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based</w:t>
            </w: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Translation</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Payment</w:t>
            </w: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Premium</w:t>
            </w: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237"/>
              <w:spacing w:after="0" w:line="141" w:lineRule="exact"/>
              <w:rPr>
                <w:sz w:val="20"/>
                <w:szCs w:val="20"/>
                <w:color w:val="auto"/>
              </w:rPr>
            </w:pPr>
            <w:r>
              <w:rPr>
                <w:rFonts w:ascii="Arial" w:cs="Arial" w:eastAsia="Arial" w:hAnsi="Arial"/>
                <w:sz w:val="14"/>
                <w:szCs w:val="14"/>
                <w:b w:val="1"/>
                <w:bCs w:val="1"/>
                <w:color w:val="auto"/>
              </w:rPr>
              <w:t>(EUR’000)</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2019</w:t>
            </w: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w w:val="88"/>
              </w:rPr>
              <w:t>5,659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625,250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42,445</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(393,307)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for the period</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(137,654)</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3"/>
              </w:rPr>
              <w:t>(137,654)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12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(137,654)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(137,652</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26,205</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86"/>
              </w:rPr>
              <w:t>751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12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(31,701)</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September 30, 2019</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6,410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1,116,821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(530,961)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0"/>
          </w:cols>
          <w:pgMar w:left="460" w:top="269"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25400"/>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w:t>
      </w:r>
    </w:p>
    <w:p>
      <w:pPr>
        <w:spacing w:after="0" w:line="228"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Nine Months Ended</w:t>
      </w:r>
    </w:p>
    <w:p>
      <w:pPr>
        <w:jc w:val="center"/>
        <w:ind w:left="9140"/>
        <w:spacing w:after="0" w:line="235"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620" w:type="dxa"/>
            <w:vAlign w:val="bottom"/>
            <w:gridSpan w:val="3"/>
          </w:tcPr>
          <w:p>
            <w:pPr>
              <w:jc w:val="right"/>
              <w:ind w:right="411"/>
              <w:spacing w:after="0" w:line="141"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b w:val="1"/>
                <w:bCs w:val="1"/>
                <w:color w:val="auto"/>
                <w:w w:val="95"/>
              </w:rPr>
              <w:t>(279,990)</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3"/>
              </w:rPr>
              <w:t>(137,654)</w:t>
            </w: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consideration relating to revenue</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(2,850)</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(5,334)</w:t>
            </w: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Reversal of share of profit / (loss) of associate</w:t>
            </w:r>
          </w:p>
        </w:tc>
        <w:tc>
          <w:tcPr>
            <w:tcW w:w="700" w:type="dxa"/>
            <w:vAlign w:val="bottom"/>
          </w:tcPr>
          <w:p>
            <w:pPr>
              <w:jc w:val="right"/>
              <w:spacing w:after="0"/>
              <w:rPr>
                <w:sz w:val="20"/>
                <w:szCs w:val="20"/>
                <w:color w:val="auto"/>
              </w:rPr>
            </w:pPr>
            <w:r>
              <w:rPr>
                <w:rFonts w:ascii="Arial" w:cs="Arial" w:eastAsia="Arial" w:hAnsi="Arial"/>
                <w:sz w:val="18"/>
                <w:szCs w:val="18"/>
                <w:color w:val="auto"/>
              </w:rPr>
              <w:t>6,501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(1,677)</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(30,285)</w:t>
            </w: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40,391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(202)</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w:t>
            </w: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Adjustments for:</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700" w:type="dxa"/>
            <w:vAlign w:val="bottom"/>
          </w:tcPr>
          <w:p>
            <w:pPr>
              <w:jc w:val="right"/>
              <w:spacing w:after="0"/>
              <w:rPr>
                <w:sz w:val="20"/>
                <w:szCs w:val="20"/>
                <w:color w:val="auto"/>
              </w:rPr>
            </w:pPr>
            <w:r>
              <w:rPr>
                <w:rFonts w:ascii="Arial" w:cs="Arial" w:eastAsia="Arial" w:hAnsi="Arial"/>
                <w:sz w:val="18"/>
                <w:szCs w:val="18"/>
                <w:color w:val="auto"/>
              </w:rPr>
              <w:t>6,462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(2,082)</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(285)</w:t>
            </w: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Prepayments</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(7,618)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Contract liabilities (deferred income)</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(635)</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(5,529)</w:t>
            </w:r>
          </w:p>
        </w:tc>
      </w:tr>
      <w:tr>
        <w:trPr>
          <w:trHeight w:val="229"/>
        </w:trPr>
        <w:tc>
          <w:tcPr>
            <w:tcW w:w="20" w:type="dxa"/>
            <w:vAlign w:val="bottom"/>
          </w:tcPr>
          <w:p>
            <w:pPr>
              <w:spacing w:after="0"/>
              <w:rPr>
                <w:sz w:val="19"/>
                <w:szCs w:val="19"/>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payables, accrued expenses, and other payables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(182,187)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(134,024)</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Finance expenses paid</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(1,152)</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(526)</w:t>
            </w: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w:t>
            </w: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(181,216</w:t>
            </w:r>
          </w:p>
        </w:tc>
        <w:tc>
          <w:tcPr>
            <w:tcW w:w="220" w:type="dxa"/>
            <w:vAlign w:val="bottom"/>
          </w:tcPr>
          <w:p>
            <w:pPr>
              <w:jc w:val="right"/>
              <w:ind w:right="82"/>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(126,700</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(15,596)</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(4,030)</w:t>
            </w: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Reimbursement from acquisition of property, plant and equipment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Development expenditures (software)</w:t>
            </w:r>
          </w:p>
        </w:tc>
        <w:tc>
          <w:tcPr>
            <w:tcW w:w="920" w:type="dxa"/>
            <w:vAlign w:val="bottom"/>
            <w:gridSpan w:val="2"/>
          </w:tcPr>
          <w:p>
            <w:pPr>
              <w:jc w:val="right"/>
              <w:ind w:right="82"/>
              <w:spacing w:after="0"/>
              <w:rPr>
                <w:sz w:val="20"/>
                <w:szCs w:val="20"/>
                <w:color w:val="auto"/>
              </w:rPr>
            </w:pPr>
            <w:r>
              <w:rPr>
                <w:rFonts w:ascii="Arial" w:cs="Arial" w:eastAsia="Arial" w:hAnsi="Arial"/>
                <w:sz w:val="18"/>
                <w:szCs w:val="18"/>
                <w:color w:val="auto"/>
              </w:rPr>
              <w:t>(734)</w:t>
            </w: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(340,391)</w:t>
            </w: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Settlement of marketable securities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5"/>
              </w:rPr>
              <w:t>(220,067)</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(4,030)</w:t>
            </w: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(3,480)</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(2,992)</w:t>
            </w: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Capital increase</w:t>
            </w:r>
          </w:p>
        </w:tc>
        <w:tc>
          <w:tcPr>
            <w:tcW w:w="700" w:type="dxa"/>
            <w:vAlign w:val="bottom"/>
          </w:tcPr>
          <w:p>
            <w:pPr>
              <w:jc w:val="right"/>
              <w:spacing w:after="0"/>
              <w:rPr>
                <w:sz w:val="20"/>
                <w:szCs w:val="20"/>
                <w:color w:val="auto"/>
              </w:rPr>
            </w:pPr>
            <w:r>
              <w:rPr>
                <w:rFonts w:ascii="Arial" w:cs="Arial" w:eastAsia="Arial" w:hAnsi="Arial"/>
                <w:sz w:val="18"/>
                <w:szCs w:val="18"/>
                <w:color w:val="auto"/>
              </w:rPr>
              <w:t>627,189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524,023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(31,373)</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(31,701)</w:t>
            </w: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592,336</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489,330</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191,053</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358,600</w:t>
            </w:r>
          </w:p>
        </w:tc>
        <w:tc>
          <w:tcPr>
            <w:tcW w:w="100" w:type="dxa"/>
            <w:vAlign w:val="bottom"/>
            <w:shd w:val="clear" w:color="auto" w:fill="CCEEFF"/>
          </w:tcPr>
          <w:p>
            <w:pPr>
              <w:spacing w:after="0"/>
              <w:rPr>
                <w:sz w:val="18"/>
                <w:szCs w:val="18"/>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700" w:type="dxa"/>
            <w:vAlign w:val="bottom"/>
          </w:tcPr>
          <w:p>
            <w:pPr>
              <w:jc w:val="right"/>
              <w:spacing w:after="0"/>
              <w:rPr>
                <w:sz w:val="20"/>
                <w:szCs w:val="20"/>
                <w:color w:val="auto"/>
              </w:rPr>
            </w:pPr>
            <w:r>
              <w:rPr>
                <w:rFonts w:ascii="Arial" w:cs="Arial" w:eastAsia="Arial" w:hAnsi="Arial"/>
                <w:sz w:val="18"/>
                <w:szCs w:val="18"/>
                <w:color w:val="auto"/>
              </w:rPr>
              <w:t>598,106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277,862</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(25,705)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shd w:val="clear" w:color="auto" w:fill="CCEEFF"/>
          </w:tcPr>
          <w:p>
            <w:pPr>
              <w:spacing w:after="0"/>
              <w:rPr>
                <w:sz w:val="18"/>
                <w:szCs w:val="18"/>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September 30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763,454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658,660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Bank deposits</w:t>
            </w:r>
          </w:p>
        </w:tc>
        <w:tc>
          <w:tcPr>
            <w:tcW w:w="700" w:type="dxa"/>
            <w:vAlign w:val="bottom"/>
          </w:tcPr>
          <w:p>
            <w:pPr>
              <w:jc w:val="right"/>
              <w:spacing w:after="0"/>
              <w:rPr>
                <w:sz w:val="20"/>
                <w:szCs w:val="20"/>
                <w:color w:val="auto"/>
              </w:rPr>
            </w:pPr>
            <w:r>
              <w:rPr>
                <w:rFonts w:ascii="Arial" w:cs="Arial" w:eastAsia="Arial" w:hAnsi="Arial"/>
                <w:sz w:val="18"/>
                <w:szCs w:val="18"/>
                <w:color w:val="auto"/>
              </w:rPr>
              <w:t>719,698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658,660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September 30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763,454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658,660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0"/>
          </w:cols>
          <w:pgMar w:left="460" w:top="269"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0" w:lineRule="exact"/>
        <w:rPr>
          <w:sz w:val="20"/>
          <w:szCs w:val="20"/>
          <w:color w:val="auto"/>
        </w:rPr>
      </w:pPr>
    </w:p>
    <w:p>
      <w:pPr>
        <w:ind w:right="300" w:firstLine="439"/>
        <w:spacing w:after="0" w:line="310"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3" w:lineRule="exact"/>
        <w:rPr>
          <w:sz w:val="20"/>
          <w:szCs w:val="20"/>
          <w:color w:val="auto"/>
        </w:rPr>
      </w:pPr>
    </w:p>
    <w:p>
      <w:pPr>
        <w:ind w:right="300" w:firstLine="439"/>
        <w:spacing w:after="0" w:line="306" w:lineRule="auto"/>
        <w:rPr>
          <w:sz w:val="20"/>
          <w:szCs w:val="20"/>
          <w:color w:val="auto"/>
        </w:rPr>
      </w:pPr>
      <w:r>
        <w:rPr>
          <w:rFonts w:ascii="Arial" w:cs="Arial" w:eastAsia="Arial" w:hAnsi="Arial"/>
          <w:sz w:val="17"/>
          <w:szCs w:val="17"/>
          <w:color w:val="auto"/>
        </w:rPr>
        <w:t>On February 2, 2015, the Company completed an initial public offering which resulted in the listing of American Depositary Shares, or ADSs, representing the Company’s ordinary shares, under the symbol “ASND” in the United States on The Nasdaq Global Select Market.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Board of Directors approved these unaudited condensed consolidated interim financial statements on November 11, 2020.</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6"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2019 and accompanying notes, which have been prepared in accordance with IFRS as issued by the International Accounting Standards Board, and as adopted by the European Union.</w:t>
      </w:r>
    </w:p>
    <w:p>
      <w:pPr>
        <w:spacing w:after="0" w:line="192"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The accounting policies applied are consistent with those of the previous financial year. A description of our accounting policies is provided in the Accounting Policies section of the audited consolidated financial statements as of and for the year ended December 31, 2019. In addition, our accounting policies for marketable securities, and internally generated intangible assets regarding software, applied for the first time in this reporting period, are described below.</w:t>
      </w:r>
    </w:p>
    <w:p>
      <w:pPr>
        <w:spacing w:after="0" w:line="186" w:lineRule="exact"/>
        <w:rPr>
          <w:sz w:val="20"/>
          <w:szCs w:val="20"/>
          <w:color w:val="auto"/>
        </w:rPr>
      </w:pPr>
    </w:p>
    <w:p>
      <w:pPr>
        <w:ind w:right="40" w:firstLine="439"/>
        <w:spacing w:after="0" w:line="310"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6"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Marketable securities may comprise government bonds, treasury bills, commercial papers, and other securities traded on established markets. In addition, our investment policy only allows investments in marketable securities having investment grade credit-ratings, assigned by international credit-rating agencies.</w:t>
      </w:r>
    </w:p>
    <w:p>
      <w:pPr>
        <w:spacing w:after="0" w:line="183"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color w:val="auto"/>
        </w:rPr>
        <w:t>Marketable securities are primarily held to mitigate concentration of credit risks on cash deposits and preserve capital. In addition, we manage our liquidity risk by maintaining adequate cash reserves and banking facilities, and by matching the maturity profiles of financial assets including marketable securities, with cash-forecasts including payment profiles on liabilities.</w:t>
      </w:r>
    </w:p>
    <w:p>
      <w:pPr>
        <w:spacing w:after="0" w:line="183" w:lineRule="exact"/>
        <w:rPr>
          <w:sz w:val="20"/>
          <w:szCs w:val="20"/>
          <w:color w:val="auto"/>
        </w:rPr>
      </w:pPr>
    </w:p>
    <w:p>
      <w:pPr>
        <w:jc w:val="both"/>
        <w:ind w:right="20" w:firstLine="439"/>
        <w:spacing w:after="0" w:line="262" w:lineRule="auto"/>
        <w:rPr>
          <w:sz w:val="20"/>
          <w:szCs w:val="20"/>
          <w:color w:val="auto"/>
        </w:rPr>
      </w:pPr>
      <w:r>
        <w:rPr>
          <w:rFonts w:ascii="Arial" w:cs="Arial" w:eastAsia="Arial" w:hAnsi="Arial"/>
          <w:sz w:val="18"/>
          <w:szCs w:val="18"/>
          <w:color w:val="auto"/>
        </w:rPr>
        <w:t>At initial recognition (trade-date), contractual terms of individual securities are analyzed to determine whether these give rise on specified dates to cash flows that are solely payments of principal and interest on the principal outstanding. This assessment is referred to as the SPPI-test. All marketable securities held at the reporting date, have passed the SPPI-test.</w:t>
      </w:r>
    </w:p>
    <w:p>
      <w:pPr>
        <w:spacing w:after="0" w:line="183" w:lineRule="exact"/>
        <w:rPr>
          <w:sz w:val="20"/>
          <w:szCs w:val="20"/>
          <w:color w:val="auto"/>
        </w:rPr>
      </w:pPr>
    </w:p>
    <w:p>
      <w:pPr>
        <w:ind w:right="480" w:firstLine="439"/>
        <w:spacing w:after="0" w:line="262" w:lineRule="auto"/>
        <w:rPr>
          <w:sz w:val="20"/>
          <w:szCs w:val="20"/>
          <w:color w:val="auto"/>
        </w:rPr>
      </w:pPr>
      <w:r>
        <w:rPr>
          <w:rFonts w:ascii="Arial" w:cs="Arial" w:eastAsia="Arial" w:hAnsi="Arial"/>
          <w:sz w:val="18"/>
          <w:szCs w:val="18"/>
          <w:color w:val="auto"/>
        </w:rPr>
        <w:t>Marketable securities are initially recognized at fair value at trade date, and subsequently measured at amortized cost and are subject to impairment to accommodate expected credit loss. Gains and losses are recognized in the consolidated statement of profit or loss when the specific security or portfolio of securities is derecognized, modified or impaired.</w:t>
      </w:r>
    </w:p>
    <w:p>
      <w:pPr>
        <w:spacing w:after="0" w:line="183" w:lineRule="exact"/>
        <w:rPr>
          <w:sz w:val="20"/>
          <w:szCs w:val="20"/>
          <w:color w:val="auto"/>
        </w:rPr>
      </w:pPr>
    </w:p>
    <w:p>
      <w:pPr>
        <w:ind w:right="380" w:firstLine="439"/>
        <w:spacing w:after="0" w:line="310" w:lineRule="auto"/>
        <w:rPr>
          <w:sz w:val="20"/>
          <w:szCs w:val="20"/>
          <w:color w:val="auto"/>
        </w:rPr>
      </w:pPr>
      <w:r>
        <w:rPr>
          <w:rFonts w:ascii="Arial" w:cs="Arial" w:eastAsia="Arial" w:hAnsi="Arial"/>
          <w:sz w:val="16"/>
          <w:szCs w:val="16"/>
          <w:color w:val="auto"/>
        </w:rPr>
        <w:t>Marketable securities, having maturity profiles of three months or less on the date of acquisition are presented as cash equivalents in the consolidated statements of financial position, where securities, having maturities of more than three months on the date of acquisition are presented separately as marketable securities as current (i.e., those maturing within 12 months at the reporting date) or non-current assets, as appropriate.</w:t>
      </w:r>
    </w:p>
    <w:p>
      <w:pPr>
        <w:sectPr>
          <w:pgSz w:w="11900" w:h="16838" w:orient="portrait"/>
          <w:cols w:equalWidth="0" w:num="1">
            <w:col w:w="10960"/>
          </w:cols>
          <w:pgMar w:left="460" w:top="269" w:right="479" w:bottom="1440" w:gutter="0" w:footer="0" w:header="0"/>
        </w:sectPr>
      </w:pPr>
    </w:p>
    <w:bookmarkStart w:id="9" w:name="page10"/>
    <w:bookmarkEnd w:id="9"/>
    <w:p>
      <w:pPr>
        <w:ind w:left="250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w:t>
      </w:r>
    </w:p>
    <w:p>
      <w:pPr>
        <w:spacing w:after="0" w:line="160"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Internally Generated Intangible Assets regarding Software</w:t>
      </w:r>
    </w:p>
    <w:p>
      <w:pPr>
        <w:spacing w:after="0" w:line="116" w:lineRule="exact"/>
        <w:rPr>
          <w:sz w:val="20"/>
          <w:szCs w:val="20"/>
          <w:color w:val="auto"/>
        </w:rPr>
      </w:pPr>
    </w:p>
    <w:p>
      <w:pPr>
        <w:ind w:left="445"/>
        <w:spacing w:after="0"/>
        <w:rPr>
          <w:sz w:val="20"/>
          <w:szCs w:val="20"/>
          <w:color w:val="auto"/>
        </w:rPr>
      </w:pPr>
      <w:r>
        <w:rPr>
          <w:rFonts w:ascii="Arial" w:cs="Arial" w:eastAsia="Arial" w:hAnsi="Arial"/>
          <w:sz w:val="17"/>
          <w:szCs w:val="17"/>
          <w:color w:val="auto"/>
        </w:rPr>
        <w:t>Software assets, that is internally developed, comprise administrative applications and serve general purposes to support operations.</w:t>
      </w:r>
    </w:p>
    <w:p>
      <w:pPr>
        <w:spacing w:after="0" w:line="235" w:lineRule="exact"/>
        <w:rPr>
          <w:sz w:val="20"/>
          <w:szCs w:val="20"/>
          <w:color w:val="auto"/>
        </w:rPr>
      </w:pPr>
    </w:p>
    <w:p>
      <w:pPr>
        <w:ind w:left="5" w:right="400" w:firstLine="439"/>
        <w:spacing w:after="0" w:line="290" w:lineRule="auto"/>
        <w:rPr>
          <w:sz w:val="20"/>
          <w:szCs w:val="20"/>
          <w:color w:val="auto"/>
        </w:rPr>
      </w:pPr>
      <w:r>
        <w:rPr>
          <w:rFonts w:ascii="Arial" w:cs="Arial" w:eastAsia="Arial" w:hAnsi="Arial"/>
          <w:sz w:val="16"/>
          <w:szCs w:val="16"/>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w:t>
      </w:r>
    </w:p>
    <w:p>
      <w:pPr>
        <w:ind w:left="5" w:right="720" w:hanging="5"/>
        <w:spacing w:after="0" w:line="321"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technological feasibility, adequate resources to complete, and an internal use of the software asset can be demonstrated; (3) the expenditure attributable to the software asset can be measured reliably; and (4) the Company has the intention to use the software asset internally.</w:t>
      </w:r>
    </w:p>
    <w:p>
      <w:pPr>
        <w:spacing w:after="0" w:line="139" w:lineRule="exact"/>
        <w:rPr>
          <w:sz w:val="20"/>
          <w:szCs w:val="20"/>
          <w:color w:val="auto"/>
        </w:rPr>
      </w:pPr>
    </w:p>
    <w:p>
      <w:pPr>
        <w:ind w:left="5" w:firstLine="439"/>
        <w:spacing w:after="0" w:line="256" w:lineRule="auto"/>
        <w:rPr>
          <w:sz w:val="20"/>
          <w:szCs w:val="20"/>
          <w:color w:val="auto"/>
        </w:rPr>
      </w:pPr>
      <w:r>
        <w:rPr>
          <w:rFonts w:ascii="Arial" w:cs="Arial" w:eastAsia="Arial" w:hAnsi="Arial"/>
          <w:sz w:val="18"/>
          <w:szCs w:val="18"/>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 Software assets are amortized over the period of expected future benefits. Amortization is recognized in research and development costs, and selling, general and administrative expenses, as appropriate. During the period of development, the asset is tested for impairment, at least annually, or if there are indications that a software asset is impaired.</w:t>
      </w:r>
    </w:p>
    <w:p>
      <w:pPr>
        <w:spacing w:after="0" w:line="188" w:lineRule="exact"/>
        <w:rPr>
          <w:sz w:val="20"/>
          <w:szCs w:val="20"/>
          <w:color w:val="auto"/>
        </w:rPr>
      </w:pPr>
    </w:p>
    <w:p>
      <w:pPr>
        <w:jc w:val="both"/>
        <w:ind w:left="5" w:right="300" w:firstLine="439"/>
        <w:spacing w:after="0" w:line="340" w:lineRule="auto"/>
        <w:rPr>
          <w:sz w:val="20"/>
          <w:szCs w:val="20"/>
          <w:color w:val="auto"/>
        </w:rPr>
      </w:pPr>
      <w:r>
        <w:rPr>
          <w:rFonts w:ascii="Arial" w:cs="Arial" w:eastAsia="Arial" w:hAnsi="Arial"/>
          <w:sz w:val="16"/>
          <w:szCs w:val="16"/>
          <w:color w:val="auto"/>
        </w:rPr>
        <w:t>Expenditures, that do not meet the criteria above are recognized as an expense as incurred. The Company does not capitalize software with no alternative use, or where economic benefit depends on marketing approvals of product candidates and where such approvals have not been obtained.</w:t>
      </w:r>
    </w:p>
    <w:p>
      <w:pPr>
        <w:spacing w:after="0" w:line="232"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New and Amended IFRS Standards Adopted by the Company</w:t>
      </w:r>
    </w:p>
    <w:p>
      <w:pPr>
        <w:spacing w:after="0" w:line="116" w:lineRule="exact"/>
        <w:rPr>
          <w:sz w:val="20"/>
          <w:szCs w:val="20"/>
          <w:color w:val="auto"/>
        </w:rPr>
      </w:pPr>
    </w:p>
    <w:p>
      <w:pPr>
        <w:ind w:left="5" w:right="380" w:firstLine="439"/>
        <w:spacing w:after="0" w:line="275" w:lineRule="auto"/>
        <w:rPr>
          <w:sz w:val="20"/>
          <w:szCs w:val="20"/>
          <w:color w:val="auto"/>
        </w:rPr>
      </w:pPr>
      <w:r>
        <w:rPr>
          <w:rFonts w:ascii="Arial" w:cs="Arial" w:eastAsia="Arial" w:hAnsi="Arial"/>
          <w:sz w:val="18"/>
          <w:szCs w:val="18"/>
          <w:color w:val="auto"/>
        </w:rPr>
        <w:t>Several new amendments and interpretations became applicable for the current reporting period, but do not have an impact on the accounting policies applied by the Company.</w:t>
      </w:r>
    </w:p>
    <w:p>
      <w:pPr>
        <w:sectPr>
          <w:pgSz w:w="11900" w:h="16838" w:orient="portrait"/>
          <w:cols w:equalWidth="0" w:num="1">
            <w:col w:w="10945"/>
          </w:cols>
          <w:pgMar w:left="455" w:top="269" w:right="499" w:bottom="1440" w:gutter="0" w:footer="0" w:header="0"/>
        </w:sectPr>
      </w:pPr>
    </w:p>
    <w:bookmarkStart w:id="10" w:name="page11"/>
    <w:bookmarkEnd w:id="10"/>
    <w:p>
      <w:pPr>
        <w:ind w:right="2460" w:firstLine="2495"/>
        <w:spacing w:after="0" w:line="40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 Note 3—Critical Accounting Judgments and Key Sources of Estimation Uncertainty</w:t>
      </w:r>
    </w:p>
    <w:p>
      <w:pPr>
        <w:jc w:val="both"/>
        <w:ind w:firstLine="439"/>
        <w:spacing w:after="0" w:line="262" w:lineRule="auto"/>
        <w:rPr>
          <w:sz w:val="20"/>
          <w:szCs w:val="20"/>
          <w:color w:val="auto"/>
        </w:rPr>
      </w:pPr>
      <w:r>
        <w:rPr>
          <w:rFonts w:ascii="Arial" w:cs="Arial" w:eastAsia="Arial" w:hAnsi="Arial"/>
          <w:sz w:val="18"/>
          <w:szCs w:val="18"/>
          <w:color w:val="auto"/>
        </w:rPr>
        <w:t>In the application of our accounting policies, the Company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3"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3" w:lineRule="exact"/>
        <w:rPr>
          <w:sz w:val="20"/>
          <w:szCs w:val="20"/>
          <w:color w:val="auto"/>
        </w:rPr>
      </w:pPr>
    </w:p>
    <w:p>
      <w:pPr>
        <w:jc w:val="both"/>
        <w:ind w:right="40" w:firstLine="439"/>
        <w:spacing w:after="0" w:line="262"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judgments and estimation uncertainties that are required in the annual consolidated financial statements, and therefore, should be read in conjunction with the Company’s audited consolidated financial statements as of and for the year ended December 31, 2019.</w:t>
      </w:r>
    </w:p>
    <w:p>
      <w:pPr>
        <w:spacing w:after="0" w:line="183" w:lineRule="exact"/>
        <w:rPr>
          <w:sz w:val="20"/>
          <w:szCs w:val="20"/>
          <w:color w:val="auto"/>
        </w:rPr>
      </w:pPr>
    </w:p>
    <w:p>
      <w:pPr>
        <w:ind w:right="60" w:firstLine="439"/>
        <w:spacing w:after="0" w:line="262"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interim financial statements relate to revenue recognition, share-based payment, internally generated intangible assets related to drug development, and to our collaboration agreements.</w:t>
      </w:r>
    </w:p>
    <w:p>
      <w:pPr>
        <w:spacing w:after="0" w:line="183"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The key sources of estimation uncertainty that have a significant risk of causing a material adjustment to the carrying amount of assets and liabilities within the next financial year, primarily relate to recognition and measurement of accruals and prepayments for manufacturing and clinical trial activities. In addition, during the first nine months of 2020, the Company has for the first time, made accounting judgments and estimates related to pre-launch inventories, as described below.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other changes to the application of critical accounting judgments, or estimation uncertainties regarding accounting estimates.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Pre-launch Inventories</w:t>
      </w:r>
    </w:p>
    <w:p>
      <w:pPr>
        <w:spacing w:after="0" w:line="116" w:lineRule="exact"/>
        <w:rPr>
          <w:sz w:val="20"/>
          <w:szCs w:val="20"/>
          <w:color w:val="auto"/>
        </w:rPr>
      </w:pPr>
    </w:p>
    <w:p>
      <w:pPr>
        <w:ind w:right="20" w:firstLine="439"/>
        <w:spacing w:after="0" w:line="272" w:lineRule="auto"/>
        <w:rPr>
          <w:sz w:val="20"/>
          <w:szCs w:val="20"/>
          <w:color w:val="auto"/>
        </w:rPr>
      </w:pPr>
      <w:r>
        <w:rPr>
          <w:rFonts w:ascii="Arial" w:cs="Arial" w:eastAsia="Arial" w:hAnsi="Arial"/>
          <w:sz w:val="17"/>
          <w:szCs w:val="17"/>
          <w:color w:val="auto"/>
        </w:rPr>
        <w:t>In order to accommodate market demands, the Company initiate manufacturing of inventories for late-stage development product candidates prior to obtaining marketing approvals (“pre-launch inventories”). In determining the accounting for pre-launch inventories, we consider the probability of future benefits, and accordingly, whether pre-launch inventories qualify as assets. Manufacturing of pre-launch inventories are initiated for late-stage product candidates and are recognized as inventories. However, since pre-launch inventories are not realizable prior to obtaining marketing approvals, pre-launch inventories are immediately written down to 0, through research and development costs. If the marketing approval is obtained, write-downs of pre-launch inventories are reversed through research and development costs.</w:t>
      </w:r>
    </w:p>
    <w:p>
      <w:pPr>
        <w:sectPr>
          <w:pgSz w:w="11900" w:h="16838" w:orient="portrait"/>
          <w:cols w:equalWidth="0" w:num="1">
            <w:col w:w="10940"/>
          </w:cols>
          <w:pgMar w:left="460" w:top="269" w:right="499" w:bottom="1440" w:gutter="0" w:footer="0" w:header="0"/>
        </w:sectPr>
      </w:pPr>
    </w:p>
    <w:bookmarkStart w:id="11" w:name="page12"/>
    <w:bookmarkEnd w:id="11"/>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6" w:lineRule="exact"/>
        <w:rPr>
          <w:sz w:val="20"/>
          <w:szCs w:val="20"/>
          <w:color w:val="auto"/>
        </w:rPr>
      </w:pPr>
    </w:p>
    <w:p>
      <w:pPr>
        <w:ind w:right="20" w:firstLine="988"/>
        <w:spacing w:after="0" w:line="258" w:lineRule="auto"/>
        <w:rPr>
          <w:sz w:val="20"/>
          <w:szCs w:val="20"/>
          <w:color w:val="auto"/>
        </w:rPr>
      </w:pPr>
      <w:r>
        <w:rPr>
          <w:rFonts w:ascii="Arial" w:cs="Arial" w:eastAsia="Arial" w:hAnsi="Arial"/>
          <w:sz w:val="18"/>
          <w:szCs w:val="18"/>
          <w:color w:val="auto"/>
        </w:rPr>
        <w:t>As reported in the audited consolidated financial statements as of and for the year ended December 31, 2019, a novel strain of coronavirus, (“COVID-19”), was reported to have surfaced in Wuhan, China, in December 2019. Since then, COVID-19 has spread around the world into a pandemic, including into countries where we are operating from, where we have planned or have ongoing clinical trials, and where we rely on third parties to manufacture preclinical and clinical supplies, as well as commercial supply.</w:t>
      </w:r>
    </w:p>
    <w:p>
      <w:pPr>
        <w:spacing w:after="0" w:line="186" w:lineRule="exact"/>
        <w:rPr>
          <w:sz w:val="20"/>
          <w:szCs w:val="20"/>
          <w:color w:val="auto"/>
        </w:rPr>
      </w:pPr>
    </w:p>
    <w:p>
      <w:pPr>
        <w:ind w:right="40" w:firstLine="988"/>
        <w:spacing w:after="0" w:line="254" w:lineRule="auto"/>
        <w:rPr>
          <w:sz w:val="20"/>
          <w:szCs w:val="20"/>
          <w:color w:val="auto"/>
        </w:rPr>
      </w:pPr>
      <w:r>
        <w:rPr>
          <w:rFonts w:ascii="Arial" w:cs="Arial" w:eastAsia="Arial" w:hAnsi="Arial"/>
          <w:sz w:val="18"/>
          <w:szCs w:val="18"/>
          <w:color w:val="auto"/>
        </w:rPr>
        <w:t>The COVID-19 pandemic may negatively impact our business in many ways. There is a potential evolving impact on the conduct of clinical trials of our product candidates, and any challenges which may arise, may lead to difficulties in meeting protocol-specified procedures. In addition, while we rely on third parties to manufacture preclinical and clinical supplies and materials, we can potentially experience delays in providing sufficient supplies according to our planned and ongoing clinical trials. Further, if our product candidates are approved, we will need to secure sufficient manufacturing capacity with our third-party manufacturers to produce the quantities necessary to meet anticipated market demand, which may be delayed by the pandemic.</w:t>
      </w:r>
    </w:p>
    <w:p>
      <w:pPr>
        <w:spacing w:after="0" w:line="192" w:lineRule="exact"/>
        <w:rPr>
          <w:sz w:val="20"/>
          <w:szCs w:val="20"/>
          <w:color w:val="auto"/>
        </w:rPr>
      </w:pPr>
    </w:p>
    <w:p>
      <w:pPr>
        <w:ind w:right="320" w:firstLine="988"/>
        <w:spacing w:after="0" w:line="258" w:lineRule="auto"/>
        <w:rPr>
          <w:sz w:val="20"/>
          <w:szCs w:val="20"/>
          <w:color w:val="auto"/>
        </w:rPr>
      </w:pPr>
      <w:r>
        <w:rPr>
          <w:rFonts w:ascii="Arial" w:cs="Arial" w:eastAsia="Arial" w:hAnsi="Arial"/>
          <w:sz w:val="18"/>
          <w:szCs w:val="18"/>
          <w:color w:val="auto"/>
        </w:rPr>
        <w:t>In order to deliver on business objectives and to ensure the safety of the patients when conducting clinical trials, we have implemented several measures. Those measures include implementing remote-visits and ensure safe delivery and dosage of clinical drugs and are continuously monitored and reassessed to ensure efficient and safe conduction of the trials. In addition, we monitor and have a close dialogue with third-party manufacturing suppliers, in order to mitigate the risk from COVID-19 supplier disruptions.</w:t>
      </w:r>
    </w:p>
    <w:p>
      <w:pPr>
        <w:spacing w:after="0" w:line="186" w:lineRule="exact"/>
        <w:rPr>
          <w:sz w:val="20"/>
          <w:szCs w:val="20"/>
          <w:color w:val="auto"/>
        </w:rPr>
      </w:pPr>
    </w:p>
    <w:p>
      <w:pPr>
        <w:ind w:right="80" w:firstLine="988"/>
        <w:spacing w:after="0" w:line="262" w:lineRule="auto"/>
        <w:rPr>
          <w:sz w:val="20"/>
          <w:szCs w:val="20"/>
          <w:color w:val="auto"/>
        </w:rPr>
      </w:pPr>
      <w:r>
        <w:rPr>
          <w:rFonts w:ascii="Arial" w:cs="Arial" w:eastAsia="Arial" w:hAnsi="Arial"/>
          <w:sz w:val="18"/>
          <w:szCs w:val="18"/>
          <w:color w:val="auto"/>
        </w:rPr>
        <w:t>As of the reporting date, we have not identified significant COVID-19 related disruptions to our business, including clinical trial operations, or identified any of our third-party manufacturers not being able to meet their obligations. In addition, no significant transactions, as a result of COVID-19, have been recognized during the first nine months of 2020.</w:t>
      </w:r>
    </w:p>
    <w:p>
      <w:pPr>
        <w:spacing w:after="0" w:line="183" w:lineRule="exact"/>
        <w:rPr>
          <w:sz w:val="20"/>
          <w:szCs w:val="20"/>
          <w:color w:val="auto"/>
        </w:rPr>
      </w:pPr>
    </w:p>
    <w:p>
      <w:pPr>
        <w:ind w:right="180" w:firstLine="988"/>
        <w:spacing w:after="0" w:line="300" w:lineRule="auto"/>
        <w:rPr>
          <w:sz w:val="20"/>
          <w:szCs w:val="20"/>
          <w:color w:val="auto"/>
        </w:rPr>
      </w:pPr>
      <w:r>
        <w:rPr>
          <w:rFonts w:ascii="Arial" w:cs="Arial" w:eastAsia="Arial" w:hAnsi="Arial"/>
          <w:sz w:val="16"/>
          <w:szCs w:val="16"/>
          <w:color w:val="auto"/>
        </w:rPr>
        <w:t>To minimize the risk of spread of COVID-19, we have taken precautionary measures within our organization, including encouraging our employees to work remotely, reducing travel activity, and minimizing face-to-face meetings. To accommodate efficient procedures for financial reporting, including internal controls, we have, also before the pandemic, structured our work environment to enable our employees to perform their tasks remotely. Accordingly, it has not been necessary to make material changes to our internal control over financial reporting due to the pandemic.</w:t>
      </w:r>
    </w:p>
    <w:p>
      <w:pPr>
        <w:spacing w:after="0" w:line="156" w:lineRule="exact"/>
        <w:rPr>
          <w:sz w:val="20"/>
          <w:szCs w:val="20"/>
          <w:color w:val="auto"/>
        </w:rPr>
      </w:pPr>
    </w:p>
    <w:p>
      <w:pPr>
        <w:ind w:right="200" w:firstLine="988"/>
        <w:spacing w:after="0" w:line="258" w:lineRule="auto"/>
        <w:rPr>
          <w:sz w:val="20"/>
          <w:szCs w:val="20"/>
          <w:color w:val="auto"/>
        </w:rPr>
      </w:pPr>
      <w:r>
        <w:rPr>
          <w:rFonts w:ascii="Arial" w:cs="Arial" w:eastAsia="Arial" w:hAnsi="Arial"/>
          <w:sz w:val="18"/>
          <w:szCs w:val="18"/>
          <w:color w:val="auto"/>
        </w:rPr>
        <w:t>However, while the global outbreak of COVID-19 continues to impact global societies, the extent to which COVID-19 impacts our business will depend on the future development, which is highly uncertain and cannot be reliably predicted. While COVID-19 continues to impact the world in several aspects, the development is monitored closely by our management, including any impact this may have on the financial performance and financial position.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Biologic License Application (“BLA”)</w:t>
      </w:r>
    </w:p>
    <w:p>
      <w:pPr>
        <w:spacing w:after="0" w:line="116" w:lineRule="exact"/>
        <w:rPr>
          <w:sz w:val="20"/>
          <w:szCs w:val="20"/>
          <w:color w:val="auto"/>
        </w:rPr>
      </w:pPr>
    </w:p>
    <w:p>
      <w:pPr>
        <w:ind w:right="20" w:firstLine="439"/>
        <w:spacing w:after="0" w:line="310" w:lineRule="auto"/>
        <w:rPr>
          <w:sz w:val="20"/>
          <w:szCs w:val="20"/>
          <w:color w:val="auto"/>
        </w:rPr>
      </w:pPr>
      <w:r>
        <w:rPr>
          <w:rFonts w:ascii="Arial" w:cs="Arial" w:eastAsia="Arial" w:hAnsi="Arial"/>
          <w:sz w:val="16"/>
          <w:szCs w:val="16"/>
          <w:color w:val="auto"/>
        </w:rPr>
        <w:t>On June 25, 2020, the Company submitted a BLA to the U.S. Food and Drug Administration, or the FDA, for TransCon hGH to treat pediatric growth hormone deficiency. In order to accommodate market demands, the Company has initiated manufacturing of inventories prior to obtaining marketing approval. Please refer to Note 3 regarding description of critical accounting judgments and estimation uncertainties on pre-launch inventories.</w:t>
      </w:r>
    </w:p>
    <w:p>
      <w:pPr>
        <w:spacing w:after="0" w:line="148" w:lineRule="exact"/>
        <w:rPr>
          <w:sz w:val="20"/>
          <w:szCs w:val="20"/>
          <w:color w:val="auto"/>
        </w:rPr>
      </w:pPr>
    </w:p>
    <w:p>
      <w:pPr>
        <w:ind w:right="20" w:firstLine="439"/>
        <w:spacing w:after="0" w:line="275" w:lineRule="auto"/>
        <w:rPr>
          <w:sz w:val="20"/>
          <w:szCs w:val="20"/>
          <w:color w:val="auto"/>
        </w:rPr>
      </w:pPr>
      <w:r>
        <w:rPr>
          <w:rFonts w:ascii="Arial" w:cs="Arial" w:eastAsia="Arial" w:hAnsi="Arial"/>
          <w:sz w:val="18"/>
          <w:szCs w:val="18"/>
          <w:color w:val="auto"/>
        </w:rPr>
        <w:t>In addition, the Company has continued building up the commercial organization, including ensuring proper IT systems are in place to support the commercial launch of TransCon hGH.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Follow-on-public Offering</w:t>
      </w:r>
    </w:p>
    <w:p>
      <w:pPr>
        <w:spacing w:after="0" w:line="116"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July 7, 2020, the Company entered into an underwriting agreement with J.P. Morgan Securities LLC, Morgan Stanley &amp; Co. LLC, Evercore Group L.L.C., and SVB Leerink LLC, as representatives of the several underwriters named therein (collectively, the “Underwriters”), pursuant to which the Company agreed to issue and sell 4,225,352 American Depositary Shares (the “ADSs”), each of which represents one ordinary share of the Company, DKK 1 nominal value per share, to the Underwriters (the “Offering”). The ADSs were sold at a public offering price of $142.00 per ADS, and were purchased by the Underwriters from the Company at a price of $134.90 per ADS. Under the terms of the Underwriting Agreement, the Company granted the Underwriters the right, for 30 days, to purchase from the Company up to 633,802 additional ADSs at the public offering price, less the underwriting commissions. On July 8, 2020, the Underwriters exercised their option to purchase the additional 633,802 ADSs in full.</w:t>
      </w:r>
    </w:p>
    <w:p>
      <w:pPr>
        <w:sectPr>
          <w:pgSz w:w="11900" w:h="16838" w:orient="portrait"/>
          <w:cols w:equalWidth="0" w:num="1">
            <w:col w:w="10960"/>
          </w:cols>
          <w:pgMar w:left="460" w:top="269" w:right="479" w:bottom="1440" w:gutter="0" w:footer="0" w:header="0"/>
        </w:sectPr>
      </w:pPr>
    </w:p>
    <w:bookmarkStart w:id="12" w:name="page13"/>
    <w:bookmarkEnd w:id="12"/>
    <w:p>
      <w:pPr>
        <w:ind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25400"/>
                    </a:xfrm>
                    <a:prstGeom prst="rect">
                      <a:avLst/>
                    </a:prstGeom>
                    <a:noFill/>
                  </pic:spPr>
                </pic:pic>
              </a:graphicData>
            </a:graphic>
          </wp:anchor>
        </w:drawing>
        <w:t>On July 10, 2020, the Offering closed, and the Company completed the sale and issuance of an aggregate of 4,859,154 ADSs. The Company received net proceeds from the Offering of $654.6 million, or €580.5 million at the date of closing, after deducting the Underwriters’ commissions and offering expenses payable by the Company.</w:t>
      </w:r>
    </w:p>
    <w:p>
      <w:pPr>
        <w:sectPr>
          <w:pgSz w:w="11900" w:h="16838" w:orient="portrait"/>
          <w:cols w:equalWidth="0" w:num="1">
            <w:col w:w="10800"/>
          </w:cols>
          <w:pgMar w:left="460" w:top="273" w:right="639" w:bottom="1440" w:gutter="0" w:footer="0" w:header="0"/>
        </w:sectPr>
      </w:pPr>
    </w:p>
    <w:bookmarkStart w:id="13" w:name="page14"/>
    <w:bookmarkEnd w:id="13"/>
    <w:p>
      <w:pPr>
        <w:jc w:val="center"/>
        <w:ind w:right="-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Note 5—Revenue</w:t>
      </w:r>
    </w:p>
    <w:p>
      <w:pPr>
        <w:spacing w:after="0" w:line="120" w:lineRule="exact"/>
        <w:rPr>
          <w:sz w:val="20"/>
          <w:szCs w:val="20"/>
          <w:color w:val="auto"/>
        </w:rPr>
      </w:pPr>
    </w:p>
    <w:p>
      <w:pPr>
        <w:ind w:left="985"/>
        <w:spacing w:after="0"/>
        <w:rPr>
          <w:sz w:val="20"/>
          <w:szCs w:val="20"/>
          <w:color w:val="auto"/>
        </w:rPr>
      </w:pPr>
      <w:r>
        <w:rPr>
          <w:rFonts w:ascii="Arial" w:cs="Arial" w:eastAsia="Arial" w:hAnsi="Arial"/>
          <w:sz w:val="16"/>
          <w:szCs w:val="16"/>
          <w:color w:val="auto"/>
        </w:rPr>
        <w:t>The Company’s revenue is primarily generated from three license agreements, which were entered into in 2018. The licenses grant our</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6"/>
          <w:szCs w:val="16"/>
          <w:color w:val="auto"/>
        </w:rPr>
        <w:t>associate VISEN Pharmaceuticals (“VISEN”) exclusive rights to develop and commercialize TransCon hGH, TransCon PTH and TransCon CNP in</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7"/>
          <w:szCs w:val="17"/>
          <w:color w:val="auto"/>
        </w:rPr>
        <w:t>Greater China. As consideration for the granting of such rights, the Company has received up-front, non-refundable, non-cash consideration of</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color w:val="auto"/>
        </w:rPr>
        <w:t>$40.0 million in form of 50% ownership in VISEN. Consideration received is recognized partly as license revenue, and partly as rendering of services</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8"/>
          <w:szCs w:val="18"/>
          <w:color w:val="auto"/>
        </w:rPr>
        <w:t>over time. In addition to granting exclusive rights, the Company will provide clinical trial supply and development services to VISEN.</w:t>
      </w:r>
    </w:p>
    <w:p>
      <w:pPr>
        <w:spacing w:after="0" w:line="214" w:lineRule="exact"/>
        <w:rPr>
          <w:sz w:val="20"/>
          <w:szCs w:val="20"/>
          <w:color w:val="auto"/>
        </w:rPr>
      </w:pPr>
    </w:p>
    <w:tbl>
      <w:tblPr>
        <w:tblLayout w:type="fixed"/>
        <w:tblInd w:w="44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1"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1"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40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260" w:type="dxa"/>
            <w:vAlign w:val="bottom"/>
          </w:tcPr>
          <w:p>
            <w:pPr>
              <w:spacing w:after="0"/>
              <w:rPr>
                <w:sz w:val="12"/>
                <w:szCs w:val="12"/>
                <w:color w:val="auto"/>
              </w:rPr>
            </w:pPr>
          </w:p>
        </w:tc>
        <w:tc>
          <w:tcPr>
            <w:tcW w:w="130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1,957</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b w:val="1"/>
                <w:bCs w:val="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 by geographical location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China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4,461</w:t>
            </w:r>
          </w:p>
        </w:tc>
        <w:tc>
          <w:tcPr>
            <w:tcW w:w="26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425" w:right="20" w:hanging="425"/>
        <w:spacing w:after="0" w:line="262" w:lineRule="auto"/>
        <w:tabs>
          <w:tab w:leader="none" w:pos="425" w:val="left"/>
        </w:tabs>
        <w:numPr>
          <w:ilvl w:val="0"/>
          <w:numId w:val="3"/>
        </w:numPr>
        <w:rPr>
          <w:rFonts w:ascii="Arial" w:cs="Arial" w:eastAsia="Arial" w:hAnsi="Arial"/>
          <w:sz w:val="15"/>
          <w:szCs w:val="15"/>
          <w:color w:val="auto"/>
        </w:rPr>
      </w:pPr>
      <w:r>
        <w:rPr>
          <w:rFonts w:ascii="Arial" w:cs="Arial" w:eastAsia="Arial" w:hAnsi="Arial"/>
          <w:sz w:val="18"/>
          <w:szCs w:val="18"/>
          <w:color w:val="auto"/>
        </w:rPr>
        <w:t>For the three months ended September 30, 2020 and 2019, and for the nine months ended September 30, 2020 and 2019, “Total revenue” includes recognition of previously deferred revenue/internal profit from associate of €634 thousand and €1,461 thousand, and of €2,849 thousand and €5,337 thousand, respectively.</w:t>
      </w:r>
    </w:p>
    <w:p>
      <w:pPr>
        <w:spacing w:after="0" w:line="28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Note 6—Segment Information</w:t>
      </w:r>
    </w:p>
    <w:p>
      <w:pPr>
        <w:spacing w:after="0" w:line="120" w:lineRule="exact"/>
        <w:rPr>
          <w:sz w:val="20"/>
          <w:szCs w:val="20"/>
          <w:color w:val="auto"/>
        </w:rPr>
      </w:pPr>
    </w:p>
    <w:p>
      <w:pPr>
        <w:ind w:left="5" w:right="340" w:firstLine="439"/>
        <w:spacing w:after="0" w:line="340" w:lineRule="auto"/>
        <w:rPr>
          <w:sz w:val="20"/>
          <w:szCs w:val="20"/>
          <w:color w:val="auto"/>
        </w:rPr>
      </w:pPr>
      <w:r>
        <w:rPr>
          <w:rFonts w:ascii="Arial" w:cs="Arial" w:eastAsia="Arial" w:hAnsi="Arial"/>
          <w:sz w:val="16"/>
          <w:szCs w:val="16"/>
          <w:color w:val="auto"/>
        </w:rPr>
        <w:t>We are managed and operated as one business unit. No separate business areas or separate business units have been identified in relation to product candidates or geographical markets. Accordingly, we do not disclose additional information on business segments or geographical markets.</w:t>
      </w:r>
    </w:p>
    <w:p>
      <w:pPr>
        <w:spacing w:after="0" w:line="22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Note 7—Warrants and Share-based Payment</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6" w:lineRule="exact"/>
        <w:rPr>
          <w:sz w:val="20"/>
          <w:szCs w:val="20"/>
          <w:color w:val="auto"/>
        </w:rPr>
      </w:pPr>
    </w:p>
    <w:p>
      <w:pPr>
        <w:ind w:left="5" w:right="240" w:firstLine="439"/>
        <w:spacing w:after="0" w:line="275"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its employees, members of its Board of Directors and select external consultants.</w:t>
      </w:r>
    </w:p>
    <w:p>
      <w:pPr>
        <w:spacing w:after="0" w:line="171" w:lineRule="exact"/>
        <w:rPr>
          <w:sz w:val="20"/>
          <w:szCs w:val="20"/>
          <w:color w:val="auto"/>
        </w:rPr>
      </w:pPr>
    </w:p>
    <w:p>
      <w:pPr>
        <w:ind w:left="5" w:firstLine="439"/>
        <w:spacing w:after="0" w:line="252" w:lineRule="auto"/>
        <w:rPr>
          <w:sz w:val="20"/>
          <w:szCs w:val="20"/>
          <w:color w:val="auto"/>
        </w:rPr>
      </w:pPr>
      <w:r>
        <w:rPr>
          <w:rFonts w:ascii="Arial" w:cs="Arial" w:eastAsia="Arial" w:hAnsi="Arial"/>
          <w:sz w:val="18"/>
          <w:szCs w:val="18"/>
          <w:color w:val="auto"/>
        </w:rPr>
        <w:t>Warrants are granted by the Company’s Board of Directors in accordance with authorizations given to it by the shareholders of the Company. As of September 30, 2020, 9,864,587 warrants have been granted, of which 19,580 warrants have been cancelled, 3,842,350 warrants have been exercised, 2,168 warrants have expired without being exercised, and 473,271 warrants have been forfeited. As of September 30, 2020, the Company’s Board of Directors was authorized to grant up to 1,762,700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at the time of grant as determined by the Company’s Board of Directors. The exercise prices of outstanding warrants under the Company’s warrant programs range from €6.48 to €130.96 depending on the grant dates. Vested warrants may be exercised in two or four annual exercise periods. Apart from exercise prices and exercise periods, the programs are similar.</w:t>
      </w:r>
    </w:p>
    <w:p>
      <w:pPr>
        <w:sectPr>
          <w:pgSz w:w="11900" w:h="16838" w:orient="portrait"/>
          <w:cols w:equalWidth="0" w:num="1">
            <w:col w:w="10925"/>
          </w:cols>
          <w:pgMar w:left="455" w:top="269" w:right="519" w:bottom="1440" w:gutter="0" w:footer="0" w:header="0"/>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specifies the warrant activity during the nine months ended September 30, 2020:</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75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Warrants</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5,820,211</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485,800</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(207,693)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b w:val="1"/>
                <w:bCs w:val="1"/>
                <w:color w:val="auto"/>
              </w:rPr>
              <w:t>Outstanding at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5,527,218</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September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3,072,194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34.73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141"/>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1"/>
              <w:spacing w:after="0" w:line="141"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gridSpan w:val="2"/>
          </w:tcPr>
          <w:p>
            <w:pPr>
              <w:ind w:left="360"/>
              <w:spacing w:after="0" w:line="141"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5"/>
              <w:spacing w:after="0" w:line="141"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top w:val="single" w:sz="8" w:color="auto"/>
              <w:bottom w:val="single" w:sz="8" w:color="auto"/>
            </w:tcBorders>
            <w:gridSpan w:val="2"/>
          </w:tcPr>
          <w:p>
            <w:pPr>
              <w:jc w:val="right"/>
              <w:ind w:right="50"/>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260" w:type="dxa"/>
            <w:vAlign w:val="bottom"/>
          </w:tcPr>
          <w:p>
            <w:pPr>
              <w:spacing w:after="0"/>
              <w:rPr>
                <w:sz w:val="12"/>
                <w:szCs w:val="12"/>
                <w:color w:val="auto"/>
              </w:rPr>
            </w:pPr>
          </w:p>
        </w:tc>
        <w:tc>
          <w:tcPr>
            <w:tcW w:w="136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6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5,060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240" w:type="dxa"/>
            <w:vAlign w:val="bottom"/>
          </w:tcPr>
          <w:p>
            <w:pPr>
              <w:spacing w:after="0"/>
              <w:rPr>
                <w:sz w:val="19"/>
                <w:szCs w:val="19"/>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4"/>
              </w:rPr>
              <w:t>3,015</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14,688</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10,966</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10,416</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84"/>
              </w:rPr>
              <w:t>8,075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8—Marketable Securities</w:t>
      </w:r>
    </w:p>
    <w:p>
      <w:pPr>
        <w:spacing w:after="0" w:line="120" w:lineRule="exact"/>
        <w:rPr>
          <w:sz w:val="20"/>
          <w:szCs w:val="20"/>
          <w:color w:val="auto"/>
        </w:rPr>
      </w:pPr>
    </w:p>
    <w:p>
      <w:pPr>
        <w:jc w:val="both"/>
        <w:ind w:right="300" w:firstLine="439"/>
        <w:spacing w:after="0" w:line="275" w:lineRule="auto"/>
        <w:rPr>
          <w:sz w:val="20"/>
          <w:szCs w:val="20"/>
          <w:color w:val="auto"/>
        </w:rPr>
      </w:pPr>
      <w:r>
        <w:rPr>
          <w:rFonts w:ascii="Arial" w:cs="Arial" w:eastAsia="Arial" w:hAnsi="Arial"/>
          <w:sz w:val="18"/>
          <w:szCs w:val="18"/>
          <w:color w:val="auto"/>
        </w:rPr>
        <w:t>Marketable securities are measured at amortized cost, and fair values are determined based on quoted market prices (Level 1 in the fair value hierarchy).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composition of the portfolio and its fair values are specified in following table:</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1"/>
        </w:trPr>
        <w:tc>
          <w:tcPr>
            <w:tcW w:w="764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354"/>
              <w:spacing w:after="0" w:line="141"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118,294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118,304</w:t>
            </w:r>
          </w:p>
        </w:tc>
        <w:tc>
          <w:tcPr>
            <w:tcW w:w="0" w:type="dxa"/>
            <w:vAlign w:val="bottom"/>
          </w:tcPr>
          <w:p>
            <w:pPr>
              <w:spacing w:after="0"/>
              <w:rPr>
                <w:sz w:val="1"/>
                <w:szCs w:val="1"/>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8"/>
                <w:szCs w:val="18"/>
                <w:color w:val="auto"/>
              </w:rPr>
              <w:t>Commercial papers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24,240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24,239</w:t>
            </w: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44,285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44,424</w:t>
            </w: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Agency bonds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194,071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194,226</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166,343</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194,071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194,226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460" w:top="269" w:right="59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25400"/>
                    </a:xfrm>
                    <a:prstGeom prst="rect">
                      <a:avLst/>
                    </a:prstGeom>
                    <a:noFill/>
                  </pic:spPr>
                </pic:pic>
              </a:graphicData>
            </a:graphic>
          </wp:anchor>
        </w:drawing>
        <w:t>Notes to the Unaudited Condensed Consolidated Interim Financial Statements</w:t>
      </w:r>
    </w:p>
    <w:p>
      <w:pPr>
        <w:spacing w:after="0" w:line="160" w:lineRule="exact"/>
        <w:rPr>
          <w:sz w:val="20"/>
          <w:szCs w:val="20"/>
          <w:color w:val="auto"/>
        </w:rPr>
      </w:pPr>
    </w:p>
    <w:p>
      <w:pPr>
        <w:ind w:right="420" w:firstLine="439"/>
        <w:spacing w:after="0" w:line="340" w:lineRule="auto"/>
        <w:rPr>
          <w:sz w:val="20"/>
          <w:szCs w:val="20"/>
          <w:color w:val="auto"/>
        </w:rPr>
      </w:pPr>
      <w:r>
        <w:rPr>
          <w:rFonts w:ascii="Arial" w:cs="Arial" w:eastAsia="Arial" w:hAnsi="Arial"/>
          <w:sz w:val="16"/>
          <w:szCs w:val="16"/>
          <w:color w:val="auto"/>
        </w:rPr>
        <w:t>The Company’s marketable securities are all denominated in U.S. Dollars and have a weighted average duration of 3.0 and 20.2 months, for current and non-current positions, respectively. The entire portfolio of marketable securities has a weighted average duration on 5.5 months.</w:t>
      </w:r>
    </w:p>
    <w:p>
      <w:pPr>
        <w:spacing w:after="0" w:line="124"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color w:val="auto"/>
        </w:rPr>
        <w:t>All marketable securities have investment grade ratings, and accordingly, the risk from probability of default is low. The risk of expected credit loss over marketable securities has been considered, including the hypothetical impact arising from the probability of default considering in conjunction with the expected loss given default from securities with similar credit rating and attributes. This assessment did not reveal a material expected credit loss, and accordingly, no provision for expected credit loss has been recognized.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 Capital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share capital of Ascendis Pharma A/S consists of 53,416,091 outstanding shares at a nominal value of DKK 1, all in the same share class.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20"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color w:val="auto"/>
        </w:rPr>
        <w:t>No events have occurred after the reporting date that would influence the evaluation of these unaudited condensed consolidated interim financial statements.</w:t>
      </w:r>
    </w:p>
    <w:p>
      <w:pPr>
        <w:sectPr>
          <w:pgSz w:w="11900" w:h="16838" w:orient="portrait"/>
          <w:cols w:equalWidth="0" w:num="1">
            <w:col w:w="10900"/>
          </w:cols>
          <w:pgMar w:left="460" w:top="269" w:right="5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09" w:lineRule="exact"/>
        <w:rPr>
          <w:sz w:val="20"/>
          <w:szCs w:val="20"/>
          <w:color w:val="auto"/>
        </w:rPr>
      </w:pPr>
    </w:p>
    <w:p>
      <w:pPr>
        <w:ind w:right="40" w:firstLine="439"/>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2019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0"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420" w:right="720" w:hanging="317"/>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 Biologics License Application and Marketing Authorization Application for TransCon Growth Hormone, or TransCon hGH (lonapegsomatropin);</w:t>
      </w:r>
    </w:p>
    <w:p>
      <w:pPr>
        <w:spacing w:after="0" w:line="77" w:lineRule="exact"/>
        <w:rPr>
          <w:rFonts w:ascii="Arial" w:cs="Arial" w:eastAsia="Arial" w:hAnsi="Arial"/>
          <w:sz w:val="18"/>
          <w:szCs w:val="18"/>
          <w:color w:val="auto"/>
        </w:rPr>
      </w:pPr>
    </w:p>
    <w:p>
      <w:pPr>
        <w:ind w:left="420" w:right="440" w:hanging="317"/>
        <w:spacing w:after="0" w:line="300"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progress, results and costs of developing our product candidates or any other future product candidates, and conducting preclinical studies and clinical trials, including our ongoing phase 3 study of TransCon hGH for the treatment of adult growth hormone deficiency, our ongoing phase 3 study of TransCon hGH for the treatment of pediatric growth hormone deficiency, our ongoing phase 2 study of TransCon Parathyroid Hormone, or TransCon PTH, and our ongoing phase 2 study of TransCon C-Type Natriuretic Peptide, or TransCon CNP;</w:t>
      </w:r>
    </w:p>
    <w:p>
      <w:pPr>
        <w:spacing w:after="0" w:line="62" w:lineRule="exact"/>
        <w:rPr>
          <w:rFonts w:ascii="Arial" w:cs="Arial" w:eastAsia="Arial" w:hAnsi="Arial"/>
          <w:sz w:val="16"/>
          <w:szCs w:val="16"/>
          <w:color w:val="auto"/>
        </w:rPr>
      </w:pPr>
    </w:p>
    <w:p>
      <w:pPr>
        <w:ind w:left="420" w:right="120" w:hanging="317"/>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in this therapeutic area;</w:t>
      </w:r>
    </w:p>
    <w:p>
      <w:pPr>
        <w:spacing w:after="0" w:line="77"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29" w:lineRule="exact"/>
        <w:rPr>
          <w:rFonts w:ascii="Arial" w:cs="Arial" w:eastAsia="Arial" w:hAnsi="Arial"/>
          <w:sz w:val="18"/>
          <w:szCs w:val="18"/>
          <w:color w:val="auto"/>
        </w:rPr>
      </w:pPr>
    </w:p>
    <w:p>
      <w:pPr>
        <w:ind w:left="420" w:right="80" w:hanging="317"/>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7"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29" w:lineRule="exact"/>
        <w:rPr>
          <w:rFonts w:ascii="Arial" w:cs="Arial" w:eastAsia="Arial" w:hAnsi="Arial"/>
          <w:sz w:val="18"/>
          <w:szCs w:val="18"/>
          <w:color w:val="auto"/>
        </w:rPr>
      </w:pPr>
    </w:p>
    <w:p>
      <w:pPr>
        <w:ind w:left="420" w:right="100" w:hanging="317"/>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7" w:lineRule="exact"/>
        <w:rPr>
          <w:rFonts w:ascii="Arial" w:cs="Arial" w:eastAsia="Arial" w:hAnsi="Arial"/>
          <w:sz w:val="18"/>
          <w:szCs w:val="18"/>
          <w:color w:val="auto"/>
        </w:rPr>
      </w:pPr>
    </w:p>
    <w:p>
      <w:pPr>
        <w:ind w:left="420" w:right="460" w:hanging="317"/>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7" w:lineRule="exact"/>
        <w:rPr>
          <w:rFonts w:ascii="Arial" w:cs="Arial" w:eastAsia="Arial" w:hAnsi="Arial"/>
          <w:sz w:val="18"/>
          <w:szCs w:val="18"/>
          <w:color w:val="auto"/>
        </w:rPr>
      </w:pPr>
    </w:p>
    <w:p>
      <w:pPr>
        <w:ind w:left="420" w:right="60" w:hanging="317"/>
        <w:spacing w:after="0" w:line="275"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7"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ectPr>
          <w:pgSz w:w="11900" w:h="16838" w:orient="portrait"/>
          <w:cols w:equalWidth="0" w:num="1">
            <w:col w:w="10980"/>
          </w:cols>
          <w:pgMar w:left="460" w:top="121" w:right="459" w:bottom="1440" w:gutter="0" w:footer="0" w:header="0"/>
        </w:sectPr>
      </w:pPr>
    </w:p>
    <w:bookmarkStart w:id="17" w:name="page18"/>
    <w:bookmarkEnd w:id="17"/>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25400"/>
                    </a:xfrm>
                    <a:prstGeom prst="rect">
                      <a:avLst/>
                    </a:prstGeom>
                    <a:noFill/>
                  </pic:spPr>
                </pic:pic>
              </a:graphicData>
            </a:graphic>
          </wp:anchor>
        </w:drawing>
        <w:t>our commercialization, marketing and manufacturing capabilities of our product candidates and associated devices;</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52" w:lineRule="exact"/>
        <w:rPr>
          <w:rFonts w:ascii="Arial" w:cs="Arial" w:eastAsia="Arial" w:hAnsi="Arial"/>
          <w:sz w:val="16"/>
          <w:szCs w:val="16"/>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2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on our business of the worldwide COVID-19 pandemic.</w:t>
      </w:r>
    </w:p>
    <w:p>
      <w:pPr>
        <w:spacing w:after="0" w:line="223" w:lineRule="exact"/>
        <w:rPr>
          <w:sz w:val="20"/>
          <w:szCs w:val="20"/>
          <w:color w:val="auto"/>
        </w:rPr>
      </w:pPr>
    </w:p>
    <w:p>
      <w:pPr>
        <w:ind w:right="60" w:firstLine="439"/>
        <w:spacing w:after="0" w:line="270"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2019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best-in-class profiles to address unmet medical needs. We currently have three product candidates in clinical development in rare endocrine diseases and we are advancing multiple preclinical candidates in oncology, our second therapeutic area of focus. We are also working to apply our TransCon technology platform in additional therapeutic areas to address unmet patient needs. We submitted regulatory applications for marketing approval for TransCon hGH (lonapegsomatropin) this year in the United States and Europe, and we are building our commercial organization, starting with a focus in the United States.</w:t>
      </w:r>
    </w:p>
    <w:p>
      <w:pPr>
        <w:spacing w:after="0" w:line="192" w:lineRule="exact"/>
        <w:rPr>
          <w:sz w:val="20"/>
          <w:szCs w:val="20"/>
          <w:color w:val="auto"/>
        </w:rPr>
      </w:pPr>
    </w:p>
    <w:p>
      <w:pPr>
        <w:ind w:right="20" w:firstLine="439"/>
        <w:spacing w:after="0" w:line="278" w:lineRule="auto"/>
        <w:rPr>
          <w:sz w:val="20"/>
          <w:szCs w:val="20"/>
          <w:color w:val="auto"/>
        </w:rPr>
      </w:pPr>
      <w:r>
        <w:rPr>
          <w:rFonts w:ascii="Arial" w:cs="Arial" w:eastAsia="Arial" w:hAnsi="Arial"/>
          <w:sz w:val="17"/>
          <w:szCs w:val="17"/>
          <w:color w:val="auto"/>
        </w:rPr>
        <w:t>In 2018, we formed VISEN Pharmaceuticals, or VISEN, a company established to develop and commercialize our endocrinology rare disease therapies in the People’s Republic of China, Hong Kong, Macau and Taiwan, or Greater China. We received 50% ownership in the outstanding shares of VISEN and concurrently with the rights we granted to VISEN for lonapegsomatropin, TransCon PTH and TransCon CNP, entities affiliated with Vivo Capital and Sofinnova Ventures purchased shares in VISEN for an aggregate purchase price of $40 million in cash.</w:t>
      </w:r>
    </w:p>
    <w:p>
      <w:pPr>
        <w:spacing w:after="0" w:line="170" w:lineRule="exact"/>
        <w:rPr>
          <w:sz w:val="20"/>
          <w:szCs w:val="20"/>
          <w:color w:val="auto"/>
        </w:rPr>
      </w:pPr>
    </w:p>
    <w:p>
      <w:pPr>
        <w:ind w:right="920" w:firstLine="439"/>
        <w:spacing w:after="0" w:line="340" w:lineRule="auto"/>
        <w:rPr>
          <w:sz w:val="20"/>
          <w:szCs w:val="20"/>
          <w:color w:val="auto"/>
        </w:rPr>
      </w:pPr>
      <w:r>
        <w:rPr>
          <w:rFonts w:ascii="Arial" w:cs="Arial" w:eastAsia="Arial" w:hAnsi="Arial"/>
          <w:sz w:val="16"/>
          <w:szCs w:val="16"/>
          <w:color w:val="auto"/>
        </w:rPr>
        <w:t>We had a net loss of €280.0 million for the nine months ended September 30, 2020 and a net loss of €218.0 million for the year ended December 31, 2019. Our total equity was €951.6 million as of September 30, 2020 compared to €597.1 million as of December 31,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Technology Platform</w:t>
      </w:r>
    </w:p>
    <w:p>
      <w:pPr>
        <w:spacing w:after="0" w:line="120" w:lineRule="exact"/>
        <w:rPr>
          <w:sz w:val="20"/>
          <w:szCs w:val="20"/>
          <w:color w:val="auto"/>
        </w:rPr>
      </w:pPr>
    </w:p>
    <w:p>
      <w:pPr>
        <w:ind w:right="140" w:firstLine="439"/>
        <w:spacing w:after="0" w:line="254" w:lineRule="auto"/>
        <w:rPr>
          <w:sz w:val="20"/>
          <w:szCs w:val="20"/>
          <w:color w:val="auto"/>
        </w:rPr>
      </w:pPr>
      <w:r>
        <w:rPr>
          <w:rFonts w:ascii="Arial" w:cs="Arial" w:eastAsia="Arial" w:hAnsi="Arial"/>
          <w:sz w:val="18"/>
          <w:szCs w:val="18"/>
          <w:color w:val="auto"/>
        </w:rPr>
        <w:t>Our TransCon technologies enable us to create long-acting prodrug therapies with potentially significant advantages over existing marketed drug products. Our TransCon technologies are designed to transiently link an unmodified parent drug to a TransCon carrier via our proprietary TransCon linkers. Our TransCon linkers are designed to predictably release an unmodified active parent drug at predetermined rates governed by physiological conditions (e.g., pH and temperature),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92"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We believe that the potential of our TransCon technologies is supported by data from our preclinical research and the ongoing clinical programs, including the lonapegsomatropin, TransCon PTH and TransCon CNP programs, as well as findings from our ongoing development of other product candidates. We have applied the TransCon technologies to clinically validated parent drugs to create product candidates using our algorithm for product innovation that we believe have the potential to be best-in-class in endocrinology rare diseases, and we will continue to apply this algorithm for product selection in oncology and additional therapeutic areas to address unmet patient needs. We believe this approach may reduce the risks associated with traditional drug development.</w:t>
      </w:r>
    </w:p>
    <w:p>
      <w:pPr>
        <w:sectPr>
          <w:pgSz w:w="11900" w:h="16838" w:orient="portrait"/>
          <w:cols w:equalWidth="0" w:num="1">
            <w:col w:w="10960"/>
          </w:cols>
          <w:pgMar w:left="460" w:top="273"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25400"/>
                    </a:xfrm>
                    <a:prstGeom prst="rect">
                      <a:avLst/>
                    </a:prstGeom>
                    <a:noFill/>
                  </pic:spPr>
                </pic:pic>
              </a:graphicData>
            </a:graphic>
          </wp:anchor>
        </w:drawing>
        <w:t>Lonapegsomatropin</w:t>
      </w:r>
    </w:p>
    <w:p>
      <w:pPr>
        <w:spacing w:after="0" w:line="120"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Our most advanced investigational product candidate, lonapegsomatropin, is a once-weekly long-acting prodrug of somatropin, also referred to as recombinant human growth hormone, or hGH, as a potential treatment for growth hormone deficiency, or GHD. We believe that lonapegsomatropin, if approved, may offer a once-weekly therapy for both pediatric and adult GHD with the potential to improve outcomes compared to currently approved daily somatropin. If approved, we believe lonapegsomatropin will reduce the burden of daily treatment by requiring significantly fewer injections, which we believe may improve compliance and treatment outcomes.</w:t>
      </w:r>
    </w:p>
    <w:p>
      <w:pPr>
        <w:spacing w:after="0" w:line="188"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Our phase 3 pediatric program for lonapegsomatropin includes the heiGHt, fliGHt and enliGHten Trials. Our results from the pivotal, phase 3 heiGHt Trial demonstrated a statistically significant improvement in annualized height velocity, or AHV, compared to daily somatropin at 52 weeks and showed a safety profile comparable to that of daily somatropin in pediatric subjects who were treatment-naïve. The fliGHt Trial was designed to evaluate lonapegsomatropin in subjects who were primarily treatment experienced with daily somatropin, although a subgroup of younger subjects were treatment-naïve. Nearly all subjects who completed the heiGHt or fliGHt Trials have enrolled in the open-label extension study, or the enliGHten Trial, which is designed to provide long-term safety data to support the regulatory submissions for lonapegsomatropin. We initiated the enliGHten Trial in 2017 as the first subjects began to roll over from the heiGHt Trial, and we have enrolled approximately 300 subjects, which formed the safety database required by the U.S. Food and Drug Administration, or FDA, and the European Medicines Agency’s, or EMA’s, Committee for Medicinal Products for Human Use, and was included in our Biologics License Application, or BLA, submission in June 2020.</w:t>
      </w:r>
    </w:p>
    <w:p>
      <w:pPr>
        <w:spacing w:after="0" w:line="165" w:lineRule="exact"/>
        <w:rPr>
          <w:sz w:val="20"/>
          <w:szCs w:val="20"/>
          <w:color w:val="auto"/>
        </w:rPr>
      </w:pPr>
    </w:p>
    <w:p>
      <w:pPr>
        <w:ind w:right="120" w:firstLine="439"/>
        <w:spacing w:after="0" w:line="258" w:lineRule="auto"/>
        <w:rPr>
          <w:sz w:val="20"/>
          <w:szCs w:val="20"/>
          <w:color w:val="auto"/>
        </w:rPr>
      </w:pPr>
      <w:r>
        <w:rPr>
          <w:rFonts w:ascii="Arial" w:cs="Arial" w:eastAsia="Arial" w:hAnsi="Arial"/>
          <w:sz w:val="18"/>
          <w:szCs w:val="18"/>
          <w:color w:val="auto"/>
        </w:rPr>
        <w:t>In September 2020, we filed a Clinical Trial Notification, or CTN, with the Pharmaceuticals and Medical Devices Agency, or PMDA in Japan, to initiate our phase 3 riGHt Trial of lonapegsomatropin for the treatment for pediatric GHD. The primary objective of the riGHt Trial is to evaluate and compare the AHV of 40 Japanese prepubertal treatment naïve children with GHD treated with weekly lonapegsomatropin to that of a commercially available daily somatropin formulation at 52 weeks.</w:t>
      </w:r>
    </w:p>
    <w:p>
      <w:pPr>
        <w:spacing w:after="0" w:line="186" w:lineRule="exact"/>
        <w:rPr>
          <w:sz w:val="20"/>
          <w:szCs w:val="20"/>
          <w:color w:val="auto"/>
        </w:rPr>
      </w:pPr>
    </w:p>
    <w:p>
      <w:pPr>
        <w:ind w:right="160" w:firstLine="439"/>
        <w:spacing w:after="0" w:line="306" w:lineRule="auto"/>
        <w:rPr>
          <w:sz w:val="20"/>
          <w:szCs w:val="20"/>
          <w:color w:val="auto"/>
        </w:rPr>
      </w:pPr>
      <w:r>
        <w:rPr>
          <w:rFonts w:ascii="Arial" w:cs="Arial" w:eastAsia="Arial" w:hAnsi="Arial"/>
          <w:sz w:val="17"/>
          <w:szCs w:val="17"/>
          <w:color w:val="auto"/>
        </w:rPr>
        <w:t>In September 2020, we submitted a Marketing Authorization Application, or MAA, to the EMA seeking approval for lonapegsomatropin for the treatment of pediatric patients who are diagnosed with GHD. Subsequently, the EMA validated the MAA application.</w:t>
      </w:r>
    </w:p>
    <w:p>
      <w:pPr>
        <w:spacing w:after="0" w:line="147" w:lineRule="exact"/>
        <w:rPr>
          <w:sz w:val="20"/>
          <w:szCs w:val="20"/>
          <w:color w:val="auto"/>
        </w:rPr>
      </w:pPr>
    </w:p>
    <w:p>
      <w:pPr>
        <w:ind w:right="280" w:firstLine="439"/>
        <w:spacing w:after="0" w:line="340" w:lineRule="auto"/>
        <w:rPr>
          <w:sz w:val="20"/>
          <w:szCs w:val="20"/>
          <w:color w:val="auto"/>
        </w:rPr>
      </w:pPr>
      <w:r>
        <w:rPr>
          <w:rFonts w:ascii="Arial" w:cs="Arial" w:eastAsia="Arial" w:hAnsi="Arial"/>
          <w:sz w:val="16"/>
          <w:szCs w:val="16"/>
          <w:color w:val="auto"/>
        </w:rPr>
        <w:t>In September 2020, the FDA accepted our BLA for lonapegsomatropin for the treatment for pediatric GHD and set a PDUFA date for June 25, 2021. The FDA also indicated that it is currently not planning to hold an Advisory Committee Meeting to discuss the application at this time.</w:t>
      </w:r>
    </w:p>
    <w:p>
      <w:pPr>
        <w:spacing w:after="0" w:line="124" w:lineRule="exact"/>
        <w:rPr>
          <w:sz w:val="20"/>
          <w:szCs w:val="20"/>
          <w:color w:val="auto"/>
        </w:rPr>
      </w:pPr>
    </w:p>
    <w:p>
      <w:pPr>
        <w:ind w:right="160" w:firstLine="439"/>
        <w:spacing w:after="0" w:line="258" w:lineRule="auto"/>
        <w:rPr>
          <w:sz w:val="20"/>
          <w:szCs w:val="20"/>
          <w:color w:val="auto"/>
        </w:rPr>
      </w:pPr>
      <w:r>
        <w:rPr>
          <w:rFonts w:ascii="Arial" w:cs="Arial" w:eastAsia="Arial" w:hAnsi="Arial"/>
          <w:sz w:val="18"/>
          <w:szCs w:val="18"/>
          <w:color w:val="auto"/>
        </w:rPr>
        <w:t>In July 2020, the EMA adopted a decision agreeing with the positive opinion from the Paediatric Committee, or PDCO, on agreeing with the proposed Paediatric Investigation Plan, or PIP, for lonapegsomatropin. The PIP endorsed the lonapegsomatropin program as acceptable for assessment of safety and efficacy for the use of lonapegsomatropin as a treatment for GHD in children from six months to less than 18 years of age, mirroring the population covered by the studies conducted in the program.</w:t>
      </w:r>
    </w:p>
    <w:p>
      <w:pPr>
        <w:spacing w:after="0" w:line="186" w:lineRule="exact"/>
        <w:rPr>
          <w:sz w:val="20"/>
          <w:szCs w:val="20"/>
          <w:color w:val="auto"/>
        </w:rPr>
      </w:pPr>
    </w:p>
    <w:p>
      <w:pPr>
        <w:ind w:right="160" w:firstLine="439"/>
        <w:spacing w:after="0" w:line="285" w:lineRule="auto"/>
        <w:rPr>
          <w:sz w:val="20"/>
          <w:szCs w:val="20"/>
          <w:color w:val="auto"/>
        </w:rPr>
      </w:pPr>
      <w:r>
        <w:rPr>
          <w:rFonts w:ascii="Arial" w:cs="Arial" w:eastAsia="Arial" w:hAnsi="Arial"/>
          <w:sz w:val="17"/>
          <w:szCs w:val="17"/>
          <w:color w:val="auto"/>
        </w:rPr>
        <w:t>In April 2020, we received orphan drug designation from the FDA for lonapegsomatropin in the United States for the treatment of GHD. The FDA grants orphan designation to drugs that are intended for the treatment, diagnosis, or prevention of rare diseases or disorders that affect fewer than 200,000 people in the United States, and potentially may be safer or more effective than already approved products.</w:t>
      </w:r>
    </w:p>
    <w:p>
      <w:pPr>
        <w:spacing w:after="0" w:line="165" w:lineRule="exact"/>
        <w:rPr>
          <w:sz w:val="20"/>
          <w:szCs w:val="20"/>
          <w:color w:val="auto"/>
        </w:rPr>
      </w:pPr>
    </w:p>
    <w:p>
      <w:pPr>
        <w:ind w:right="60" w:firstLine="439"/>
        <w:spacing w:after="0" w:line="258" w:lineRule="auto"/>
        <w:rPr>
          <w:sz w:val="20"/>
          <w:szCs w:val="20"/>
          <w:color w:val="auto"/>
        </w:rPr>
      </w:pPr>
      <w:r>
        <w:rPr>
          <w:rFonts w:ascii="Arial" w:cs="Arial" w:eastAsia="Arial" w:hAnsi="Arial"/>
          <w:sz w:val="18"/>
          <w:szCs w:val="18"/>
          <w:color w:val="auto"/>
        </w:rPr>
        <w:t>In October 2019, we received orphan designation from the European Commission, or EC, for lonapegsomatropin for GHD. Orphan designation is granted to therapies aimed at the treatment, prevention or diagnosis of a disease that is life-threatening or chronically debilitating, affects no more than five in 10,000 persons in the European Union and for which no satisfactory method of diagnosis, prevention, or treatment has been authorized (or the product would provide significant additional benefit over existing therapies).</w:t>
      </w:r>
    </w:p>
    <w:p>
      <w:pPr>
        <w:spacing w:after="0" w:line="186" w:lineRule="exact"/>
        <w:rPr>
          <w:sz w:val="20"/>
          <w:szCs w:val="20"/>
          <w:color w:val="auto"/>
        </w:rPr>
      </w:pPr>
    </w:p>
    <w:p>
      <w:pPr>
        <w:ind w:right="140" w:firstLine="439"/>
        <w:spacing w:after="0" w:line="262" w:lineRule="auto"/>
        <w:rPr>
          <w:sz w:val="20"/>
          <w:szCs w:val="20"/>
          <w:color w:val="auto"/>
        </w:rPr>
      </w:pPr>
      <w:r>
        <w:rPr>
          <w:rFonts w:ascii="Arial" w:cs="Arial" w:eastAsia="Arial" w:hAnsi="Arial"/>
          <w:sz w:val="18"/>
          <w:szCs w:val="18"/>
          <w:color w:val="auto"/>
        </w:rPr>
        <w:t>Additionally, we have initiated a global, phase 3 trial in subjects with adult GHD, the foresiGHt Trial, with enrollment planned to begin later this year and a phase 3 trial is ongoing in Greater China through our strategic investment in VISEN. We intend to pursue other indications for lonapegsomatropin consistent with our strategy to create sustainable growth.</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Parathyroid Hormone</w:t>
      </w:r>
    </w:p>
    <w:p>
      <w:pPr>
        <w:spacing w:after="0" w:line="120" w:lineRule="exact"/>
        <w:rPr>
          <w:sz w:val="20"/>
          <w:szCs w:val="20"/>
          <w:color w:val="auto"/>
        </w:rPr>
      </w:pPr>
    </w:p>
    <w:p>
      <w:pPr>
        <w:ind w:right="80" w:firstLine="439"/>
        <w:spacing w:after="0" w:line="300" w:lineRule="auto"/>
        <w:rPr>
          <w:sz w:val="20"/>
          <w:szCs w:val="20"/>
          <w:color w:val="auto"/>
        </w:rPr>
      </w:pPr>
      <w:r>
        <w:rPr>
          <w:rFonts w:ascii="Arial" w:cs="Arial" w:eastAsia="Arial" w:hAnsi="Arial"/>
          <w:sz w:val="16"/>
          <w:szCs w:val="16"/>
          <w:color w:val="auto"/>
        </w:rPr>
        <w:t>We are using our TransCon technology platform to develop TransCon Parathyroid Hormone, or TransCon PTH, an investigational once-daily long-acting prodrug of parathyroid hormone, or PTH, as a potential treatment for adult hypoparathyroidism, or HP, a rare endocrine disorder of calcium and phosphate metabolism. TransCon PTH is designed to replace PTH at physiologic levels for 24 hours each day to address both the short-term symptoms and long-term complications of HP. The current standard of care for HP is calcium and active vitamin D (calcitriol or alfacalcidol).</w:t>
      </w:r>
    </w:p>
    <w:p>
      <w:pPr>
        <w:sectPr>
          <w:pgSz w:w="11900" w:h="16838" w:orient="portrait"/>
          <w:cols w:equalWidth="0" w:num="1">
            <w:col w:w="10960"/>
          </w:cols>
          <w:pgMar w:left="460" w:top="269" w:right="47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25400"/>
                    </a:xfrm>
                    <a:prstGeom prst="rect">
                      <a:avLst/>
                    </a:prstGeom>
                    <a:noFill/>
                  </pic:spPr>
                </pic:pic>
              </a:graphicData>
            </a:graphic>
          </wp:anchor>
        </w:drawing>
        <w:t>In October 2020, the EC granted orphan designation to TransCon PTH for the treatment of HP.</w:t>
      </w:r>
    </w:p>
    <w:p>
      <w:pPr>
        <w:spacing w:after="0" w:line="223"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In September 2020, we submitted an amendment to our investigational new drug application (IND) with the FDA for the PaTHway phase 3 clinical trial evaluating the safety, tolerability and efficacy of TransCon PTH in adults with hypoparathyroidism (HP). We have also submitted regulatory filings to enable initiation of European and Canadian sites for the PaTHway Trial. PaTHway is a double-blind, placebo-controlled trial that is expected to enroll approximately 76 subjects at sites in North America and Europe in order to obtain 68 evaluable subjects. The primary composite endpoint of the PaTHway Trial at 26 weeks is the proportion of subjects with (1) serum calcium in the normal range, (2) independence from active vitamin D, and (3) taking £600 mg/day of calcium supplements.</w:t>
      </w:r>
    </w:p>
    <w:p>
      <w:pPr>
        <w:spacing w:after="0" w:line="192"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color w:val="auto"/>
        </w:rPr>
        <w:t>In September 2020, we announced preliminary six-month results from the open-label extension, or OLE, portion of PaTH Forward, a global phase 2 trial evaluating the safety, tolerability and efficacy of TransCon PTH in adult subjects with HP. The preliminary results support potential use of TransCon PTH as a hormone replacement therapy for HP and demonstrated normalization of quality of life for subjects based on the SF-36</w:t>
      </w:r>
      <w:r>
        <w:rPr>
          <w:rFonts w:ascii="Arial" w:cs="Arial" w:eastAsia="Arial" w:hAnsi="Arial"/>
          <w:sz w:val="15"/>
          <w:szCs w:val="15"/>
          <w:color w:val="auto"/>
        </w:rPr>
        <w:t>®</w:t>
      </w:r>
      <w:r>
        <w:rPr>
          <w:rFonts w:ascii="Arial" w:cs="Arial" w:eastAsia="Arial" w:hAnsi="Arial"/>
          <w:sz w:val="18"/>
          <w:szCs w:val="18"/>
          <w:color w:val="auto"/>
        </w:rPr>
        <w:t xml:space="preserve"> Health Survey, a standard, validated tool for assessing health-related quality of life in general.</w:t>
      </w:r>
    </w:p>
    <w:p>
      <w:pPr>
        <w:spacing w:after="0" w:line="186"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In August 2020, we reported data from the four-week fixed dose, blinded portion of PaTH Forward Trial on SF-36</w:t>
      </w:r>
      <w:r>
        <w:rPr>
          <w:rFonts w:ascii="Arial" w:cs="Arial" w:eastAsia="Arial" w:hAnsi="Arial"/>
          <w:sz w:val="15"/>
          <w:szCs w:val="15"/>
          <w:color w:val="auto"/>
        </w:rPr>
        <w:t>®</w:t>
      </w:r>
      <w:r>
        <w:rPr>
          <w:rFonts w:ascii="Arial" w:cs="Arial" w:eastAsia="Arial" w:hAnsi="Arial"/>
          <w:sz w:val="18"/>
          <w:szCs w:val="18"/>
          <w:color w:val="auto"/>
        </w:rPr>
        <w:t xml:space="preserve"> Health Survey which demonstrated that TransCon PTH significantly improved quality of life and restored physical and mental functioning toward a normal level compared to placebo.</w:t>
      </w:r>
    </w:p>
    <w:p>
      <w:pPr>
        <w:spacing w:after="0" w:line="183" w:lineRule="exact"/>
        <w:rPr>
          <w:sz w:val="20"/>
          <w:szCs w:val="20"/>
          <w:color w:val="auto"/>
        </w:rPr>
      </w:pPr>
    </w:p>
    <w:p>
      <w:pPr>
        <w:ind w:right="60" w:firstLine="439"/>
        <w:spacing w:after="0" w:line="270" w:lineRule="auto"/>
        <w:rPr>
          <w:sz w:val="20"/>
          <w:szCs w:val="20"/>
          <w:color w:val="auto"/>
        </w:rPr>
      </w:pPr>
      <w:r>
        <w:rPr>
          <w:rFonts w:ascii="Arial" w:cs="Arial" w:eastAsia="Arial" w:hAnsi="Arial"/>
          <w:sz w:val="17"/>
          <w:szCs w:val="17"/>
          <w:color w:val="auto"/>
        </w:rPr>
        <w:t>In April 2020, we reported positive top-line results from the four-week fixed dose, blinded portion of our phase 2 PaTH Forward Trial, which evaluated the safety, tolerability and efficacy of three fixed doses of TransCon PTH using a ready-to-use prefilled pen injector planned for commercial presentation. The goal of PaTH Forward is to identify a starting dose for a pivotal phase 3 trial, establish a titration regimen for complete withdrawal of standard of care (i.e., active vitamin D and calcium supplements), and evaluate TransCon PTH control of serum and urinary calcium. A total of 59 subjects were randomized in a blinded manner to receive fixed doses of TransCon PTH at 15, 18 or 21 µg/day or placebo for four weeks. All doses of TransCon PTH were well-tolerated, and no serious or severe adverse events were shown during this period. No treatment-emergent adverse events, or TEAEs, led to discontinuation of study drug, and the overall incidence of TEAEs was comparable between TransCon PTH and placebo. Additionally, there were no drop-outs during the four-week fixed dose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2018, we were granted orphan drug designation by the FDA for TransCon PTH for the treatment of hypoparathyroidism.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TransCon C-Type Natriuretic Peptide</w:t>
      </w:r>
    </w:p>
    <w:p>
      <w:pPr>
        <w:spacing w:after="0" w:line="120"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We are also developing TransCon C-Type Natriuretic Peptide, or TransCon CNP, an investigational long-acting prodrug of C-type natriuretic peptide, or CNP, as a potential therapeutic option for achondroplasia, the most common form of dwarfism, and potentially other related growth disorders. TransCon CNP is designed to provide continuous CNP exposure with the goal of optimizing efficacy with a safe and convenient once-weekly dose. Currently, there are no medical therapies for achondroplasia approved by the FDA.</w:t>
      </w:r>
    </w:p>
    <w:p>
      <w:pPr>
        <w:spacing w:after="0" w:line="186"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October 2020, in collaboration with VISEN, we filed an IND to initiate the phase 2 ACcomplisH China Trial of TransCon CNP. The ACcomplisH China Trial is a phase 2, randomized, double-blind, placebo-controlled trial evaluating the safety, efficacy, and pharmacokinetics of multiple subcutaneous doses of TransCon CNP administered once weekly. The primary objectives of the study are to determine the safety of TransCon CNP in infants and prepubertal children (age &lt;11 years) with achondroplasia and to evaluate the effect of TransCon CNP on 12-month AHV in infants and prepubertal children (age &lt;11 years) with achondroplasia. All subjects who complete the trial will have the opportunity to receive TransCon CNP in a long-term extension trial.</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July 2020, we received orphan designation from the EC for TransCon CNP for treatment of achondroplasia.</w:t>
      </w:r>
    </w:p>
    <w:p>
      <w:pPr>
        <w:spacing w:after="0" w:line="223" w:lineRule="exact"/>
        <w:rPr>
          <w:sz w:val="20"/>
          <w:szCs w:val="20"/>
          <w:color w:val="auto"/>
        </w:rPr>
      </w:pPr>
    </w:p>
    <w:p>
      <w:pPr>
        <w:ind w:right="420" w:firstLine="439"/>
        <w:spacing w:after="0" w:line="275" w:lineRule="auto"/>
        <w:rPr>
          <w:sz w:val="20"/>
          <w:szCs w:val="20"/>
          <w:color w:val="auto"/>
        </w:rPr>
      </w:pPr>
      <w:r>
        <w:rPr>
          <w:rFonts w:ascii="Arial" w:cs="Arial" w:eastAsia="Arial" w:hAnsi="Arial"/>
          <w:sz w:val="18"/>
          <w:szCs w:val="18"/>
          <w:color w:val="auto"/>
        </w:rPr>
        <w:t>In July 2019, we initiated the phase 2 ACcomplisH Trial to evaluate safety and efficacy of TransCon CNP in children (ages 2-10 years) with achondroplasia.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February 2019, we were granted orphan drug designation by the FDA for TransCon CNP for the treatment of achondroplasia.</w:t>
      </w:r>
    </w:p>
    <w:p>
      <w:pPr>
        <w:spacing w:after="0" w:line="223" w:lineRule="exact"/>
        <w:rPr>
          <w:sz w:val="20"/>
          <w:szCs w:val="20"/>
          <w:color w:val="auto"/>
        </w:rPr>
      </w:pPr>
    </w:p>
    <w:p>
      <w:pPr>
        <w:ind w:right="160" w:firstLine="439"/>
        <w:spacing w:after="0" w:line="275" w:lineRule="auto"/>
        <w:rPr>
          <w:sz w:val="20"/>
          <w:szCs w:val="20"/>
          <w:color w:val="auto"/>
        </w:rPr>
      </w:pPr>
      <w:r>
        <w:rPr>
          <w:rFonts w:ascii="Arial" w:cs="Arial" w:eastAsia="Arial" w:hAnsi="Arial"/>
          <w:sz w:val="18"/>
          <w:szCs w:val="18"/>
          <w:color w:val="auto"/>
        </w:rPr>
        <w:t>In November 2018, we reported preliminary results from a phase 1 trial in healthy adult subjects, which we believe supported our target product profile for TransCon CNP.</w:t>
      </w:r>
    </w:p>
    <w:p>
      <w:pPr>
        <w:sectPr>
          <w:pgSz w:w="11900" w:h="16838" w:orient="portrait"/>
          <w:cols w:equalWidth="0" w:num="1">
            <w:col w:w="10920"/>
          </w:cols>
          <w:pgMar w:left="460" w:top="273" w:right="519" w:bottom="1440" w:gutter="0" w:footer="0" w:header="0"/>
        </w:sectPr>
      </w:pPr>
    </w:p>
    <w:bookmarkStart w:id="20" w:name="page21"/>
    <w:bookmarkEnd w:id="20"/>
    <w:p>
      <w:pPr>
        <w:ind w:lef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25400"/>
                    </a:xfrm>
                    <a:prstGeom prst="rect">
                      <a:avLst/>
                    </a:prstGeom>
                    <a:noFill/>
                  </pic:spPr>
                </pic:pic>
              </a:graphicData>
            </a:graphic>
          </wp:anchor>
        </w:drawing>
        <w:t>TransCon Product Candidates within Oncology</w:t>
      </w:r>
    </w:p>
    <w:p>
      <w:pPr>
        <w:spacing w:after="0" w:line="120" w:lineRule="exact"/>
        <w:rPr>
          <w:sz w:val="20"/>
          <w:szCs w:val="20"/>
          <w:color w:val="auto"/>
        </w:rPr>
      </w:pPr>
    </w:p>
    <w:p>
      <w:pPr>
        <w:ind w:left="5" w:right="420" w:firstLine="439"/>
        <w:spacing w:after="0" w:line="262" w:lineRule="auto"/>
        <w:rPr>
          <w:sz w:val="20"/>
          <w:szCs w:val="20"/>
          <w:color w:val="auto"/>
        </w:rPr>
      </w:pPr>
      <w:r>
        <w:rPr>
          <w:rFonts w:ascii="Arial" w:cs="Arial" w:eastAsia="Arial" w:hAnsi="Arial"/>
          <w:sz w:val="18"/>
          <w:szCs w:val="18"/>
          <w:color w:val="auto"/>
        </w:rPr>
        <w:t>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w:t>
      </w:r>
    </w:p>
    <w:p>
      <w:pPr>
        <w:spacing w:after="0" w:line="183" w:lineRule="exact"/>
        <w:rPr>
          <w:sz w:val="20"/>
          <w:szCs w:val="20"/>
          <w:color w:val="auto"/>
        </w:rPr>
      </w:pPr>
    </w:p>
    <w:p>
      <w:pPr>
        <w:ind w:left="5" w:right="20" w:firstLine="439"/>
        <w:spacing w:after="0" w:line="258" w:lineRule="auto"/>
        <w:rPr>
          <w:sz w:val="20"/>
          <w:szCs w:val="20"/>
          <w:color w:val="auto"/>
        </w:rPr>
      </w:pPr>
      <w:r>
        <w:rPr>
          <w:rFonts w:ascii="Arial" w:cs="Arial" w:eastAsia="Arial" w:hAnsi="Arial"/>
          <w:sz w:val="18"/>
          <w:szCs w:val="18"/>
          <w:color w:val="auto"/>
        </w:rPr>
        <w:t>We are conducting preclinical studies within the field of oncology to explore multiple potential product candidates and evaluate systemic as well as localized delivery systems using our TransCon technology platform. We have presented preclinical data on three of the programs currently in our oncology pipeline: TransCon Toll-like Receptor, or TLR, 7/8 Agonist, TransCon Interleukin-2, or IL-2, ß/g, and TransCon Vascular Endothelial Growth Factor-Tyrosine Kinase Inhibitor, or VEGF-TKI.</w:t>
      </w:r>
    </w:p>
    <w:p>
      <w:pPr>
        <w:spacing w:after="0" w:line="186" w:lineRule="exact"/>
        <w:rPr>
          <w:sz w:val="20"/>
          <w:szCs w:val="20"/>
          <w:color w:val="auto"/>
        </w:rPr>
      </w:pPr>
    </w:p>
    <w:p>
      <w:pPr>
        <w:ind w:left="5" w:right="80" w:firstLine="439"/>
        <w:spacing w:after="0" w:line="300" w:lineRule="auto"/>
        <w:rPr>
          <w:sz w:val="20"/>
          <w:szCs w:val="20"/>
          <w:color w:val="auto"/>
        </w:rPr>
      </w:pPr>
      <w:r>
        <w:rPr>
          <w:rFonts w:ascii="Arial" w:cs="Arial" w:eastAsia="Arial" w:hAnsi="Arial"/>
          <w:sz w:val="16"/>
          <w:szCs w:val="16"/>
          <w:color w:val="auto"/>
        </w:rPr>
        <w:t>TransCon TLR7/8 Agonist is a long-acting prodrug of resiquimod that is transiently conjugated to a hydrogel carrier via a TransCon linker. Administered as an intratumoral injection, TransCon TLR7/8 Agonist is designed to provide sustained release of unmodified resiquimod directly to the tumor. In preclinical studies, the effective half-life of resiquimod released from TransCon TLR7/8 Agonist has been found to be approximately 25-fold longer than the parent drug, resiquimod. We plan to submit an IND or similar filing for TransCon TLR7/8 Agonist by year-end.</w:t>
      </w:r>
    </w:p>
    <w:p>
      <w:pPr>
        <w:spacing w:after="0" w:line="156" w:lineRule="exact"/>
        <w:rPr>
          <w:sz w:val="20"/>
          <w:szCs w:val="20"/>
          <w:color w:val="auto"/>
        </w:rPr>
      </w:pPr>
    </w:p>
    <w:p>
      <w:pPr>
        <w:ind w:left="5" w:firstLine="439"/>
        <w:spacing w:after="0" w:line="290" w:lineRule="auto"/>
        <w:rPr>
          <w:sz w:val="20"/>
          <w:szCs w:val="20"/>
          <w:color w:val="auto"/>
        </w:rPr>
      </w:pPr>
      <w:r>
        <w:rPr>
          <w:rFonts w:ascii="Arial" w:cs="Arial" w:eastAsia="Arial" w:hAnsi="Arial"/>
          <w:sz w:val="16"/>
          <w:szCs w:val="16"/>
          <w:color w:val="auto"/>
        </w:rPr>
        <w:t>We are also developing TransCon IL-2 ß/g, a novel long-acting prodrug of IL-2 ß/g designed to address limitations of alternative IL-2 treatments, including aldesleukin, which has been available since the 1990’s as a treatment for advanced kidney cancer and advanced melanoma. TransCon IL-2 ß/g is designed with a parent drug that selectively binds and activates the IL-2Rß/g. By applying the innovative TransCon technology platform, preclinical data also showed that TransCon IL-2 ß/g demonstrated a long in vivo half-life of approximately 32 hours, expected to support potential dosing of every three weeks in patients. Preclinical results show a single dose of TransCon IL-2 ß/g selectively expanded lymphocyte counts (i.e., CD8+ T cells and NK cells) in non-human primates, with minimal signs of systemic inflammation (IL-5 and IL-6 markers) or endothelial cell damage (E-Selectin and VCAM-1 markers) and no dose-limiting toxicities. We plan to submit an IND filing in the United States for TransCon IL-2 ß/g in 2021.</w:t>
      </w:r>
    </w:p>
    <w:p>
      <w:pPr>
        <w:spacing w:after="0" w:line="26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7110730" cy="3528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0730" cy="352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5" w:hanging="425"/>
        <w:spacing w:after="0"/>
        <w:tabs>
          <w:tab w:leader="none" w:pos="42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rights granted to VISEN Pharmaceuticals in Greater China</w:t>
      </w:r>
    </w:p>
    <w:p>
      <w:pPr>
        <w:spacing w:after="0" w:line="22" w:lineRule="exact"/>
        <w:rPr>
          <w:rFonts w:ascii="Arial" w:cs="Arial" w:eastAsia="Arial" w:hAnsi="Arial"/>
          <w:sz w:val="18"/>
          <w:szCs w:val="18"/>
          <w:color w:val="auto"/>
        </w:rPr>
      </w:pPr>
    </w:p>
    <w:p>
      <w:pPr>
        <w:ind w:left="425" w:hanging="425"/>
        <w:spacing w:after="0"/>
        <w:tabs>
          <w:tab w:leader="none" w:pos="42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phase 3 development for pediatric growth hormone deficiency in Greater China through VISEN Pharmaceuticals.</w:t>
      </w:r>
    </w:p>
    <w:p>
      <w:pPr>
        <w:spacing w:after="0" w:line="8" w:lineRule="exact"/>
        <w:rPr>
          <w:rFonts w:ascii="Arial" w:cs="Arial" w:eastAsia="Arial" w:hAnsi="Arial"/>
          <w:sz w:val="18"/>
          <w:szCs w:val="18"/>
          <w:color w:val="auto"/>
        </w:rPr>
      </w:pPr>
    </w:p>
    <w:p>
      <w:pPr>
        <w:ind w:left="425" w:hanging="425"/>
        <w:spacing w:after="0"/>
        <w:tabs>
          <w:tab w:leader="none" w:pos="425"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PDUFA June 25, 2021.</w:t>
      </w:r>
    </w:p>
    <w:p>
      <w:pPr>
        <w:sectPr>
          <w:pgSz w:w="11900" w:h="16838" w:orient="portrait"/>
          <w:cols w:equalWidth="0" w:num="1">
            <w:col w:w="10925"/>
          </w:cols>
          <w:pgMar w:left="455" w:top="269"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25400"/>
                    </a:xfrm>
                    <a:prstGeom prst="rect">
                      <a:avLst/>
                    </a:prstGeom>
                    <a:noFill/>
                  </pic:spPr>
                </pic:pic>
              </a:graphicData>
            </a:graphic>
          </wp:anchor>
        </w:drawing>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6" w:lineRule="exact"/>
        <w:rPr>
          <w:sz w:val="20"/>
          <w:szCs w:val="20"/>
          <w:color w:val="auto"/>
        </w:rPr>
      </w:pPr>
    </w:p>
    <w:p>
      <w:pPr>
        <w:ind w:right="380" w:firstLine="439"/>
        <w:spacing w:after="0" w:line="258" w:lineRule="auto"/>
        <w:rPr>
          <w:sz w:val="20"/>
          <w:szCs w:val="20"/>
          <w:color w:val="auto"/>
        </w:rPr>
      </w:pPr>
      <w:r>
        <w:rPr>
          <w:rFonts w:ascii="Arial" w:cs="Arial" w:eastAsia="Arial" w:hAnsi="Arial"/>
          <w:sz w:val="18"/>
          <w:szCs w:val="18"/>
          <w:color w:val="auto"/>
        </w:rPr>
        <w:t>As reported in the audited consolidated financial statements as of and for the year ended December 31, 2019, a novel strain of coronavirus, (“COVID-19”), was reported to have surfaced in Wuhan, China, in December 2019. Since then, COVID-19 has spread around the world into a pandemic, including into countries where we are operating from, where we have planned or have ongoing clinical trials, and where we rely on third parties to manufacture preclinical and clinical supplies, as well as commercial supply.</w:t>
      </w:r>
    </w:p>
    <w:p>
      <w:pPr>
        <w:spacing w:after="0" w:line="186"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The COVID-19 pandemic may negatively impact our business in many ways. There is a potential evolving impact on the conduct of clinical trials of our product candidates, and any challenges which may arise, may lead to difficulties in meeting protocol-specified procedures. In addition, while we rely on third parties to manufacture preclinical and clinical supplies and materials, we can potentially experience delays in providing sufficient supplies according to our planned and ongoing clinical trials. Further, if our product candidates are approved, we will need to secure sufficient manufacturing capacity with our third-party manufacturers to produce the quantities necessary to meet anticipated market demand, which may be delayed by the pandemic.</w:t>
      </w:r>
    </w:p>
    <w:p>
      <w:pPr>
        <w:spacing w:after="0" w:line="192"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color w:val="auto"/>
        </w:rPr>
        <w:t>In order to deliver on business objectives and to ensure the safety of the patients when conducting clinical trials, we have implemented several measures. Those measures include implementing remote-visits and ensure safe delivery and dosage of clinical drugs and are continuously monitored and reassessed to ensure efficient and safe conduction of the trials. In addition, we monitor and have a close dialogue with third-party manufacturing suppliers, in order to mitigate the risk from COVID-19 supplier disruptions.</w:t>
      </w:r>
    </w:p>
    <w:p>
      <w:pPr>
        <w:spacing w:after="0" w:line="186"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As of the reporting date, we have not identified significant COVID-19 related disruptions to our business, including clinical trial operations, or identified any of our third-party manufacturers not being able to meet their obligations. In addition, no significant transactions, as a result of COVID-19, have been recognized during the first nine months of 2020.</w:t>
      </w:r>
    </w:p>
    <w:p>
      <w:pPr>
        <w:spacing w:after="0" w:line="183" w:lineRule="exact"/>
        <w:rPr>
          <w:sz w:val="20"/>
          <w:szCs w:val="20"/>
          <w:color w:val="auto"/>
        </w:rPr>
      </w:pPr>
    </w:p>
    <w:p>
      <w:pPr>
        <w:ind w:right="320" w:firstLine="439"/>
        <w:spacing w:after="0" w:line="300" w:lineRule="auto"/>
        <w:rPr>
          <w:sz w:val="20"/>
          <w:szCs w:val="20"/>
          <w:color w:val="auto"/>
        </w:rPr>
      </w:pPr>
      <w:r>
        <w:rPr>
          <w:rFonts w:ascii="Arial" w:cs="Arial" w:eastAsia="Arial" w:hAnsi="Arial"/>
          <w:sz w:val="16"/>
          <w:szCs w:val="16"/>
          <w:color w:val="auto"/>
        </w:rPr>
        <w:t>To minimize the risk of spread of COVID-19, we have taken precautionary measures within our organization, including encouraging our employees to work remotely, reducing travel activity, and minimizing face-to-face meetings. To accommodate efficient procedures for financial reporting, including internal controls, we have, also before the pandemic, structured our work environment to enable our employees to perform their tasks remotely. Accordingly, it has not been necessary to make material changes to our internal control over financial reporting due to the pandemic.</w:t>
      </w:r>
    </w:p>
    <w:p>
      <w:pPr>
        <w:spacing w:after="0" w:line="156" w:lineRule="exact"/>
        <w:rPr>
          <w:sz w:val="20"/>
          <w:szCs w:val="20"/>
          <w:color w:val="auto"/>
        </w:rPr>
      </w:pPr>
    </w:p>
    <w:p>
      <w:pPr>
        <w:ind w:right="140" w:firstLine="439"/>
        <w:spacing w:after="0" w:line="258" w:lineRule="auto"/>
        <w:rPr>
          <w:sz w:val="20"/>
          <w:szCs w:val="20"/>
          <w:color w:val="auto"/>
        </w:rPr>
      </w:pPr>
      <w:r>
        <w:rPr>
          <w:rFonts w:ascii="Arial" w:cs="Arial" w:eastAsia="Arial" w:hAnsi="Arial"/>
          <w:sz w:val="18"/>
          <w:szCs w:val="18"/>
          <w:color w:val="auto"/>
        </w:rPr>
        <w:t>However, while the global outbreak of COVID-19 continues to impact global societies, the extent to which COVID-19 impacts our business will depend on the future development, which is highly uncertain and cannot be reliably predicted. While COVID-19 continues to impact the world in several aspects, the development is monitored closely by our management, including any impact this may have on our financial performance and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 (unaudited):</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20" w:type="dxa"/>
            <w:vAlign w:val="bottom"/>
            <w:gridSpan w:val="4"/>
          </w:tcPr>
          <w:p>
            <w:pPr>
              <w:jc w:val="center"/>
              <w:ind w:right="81"/>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20" w:type="dxa"/>
            <w:vAlign w:val="bottom"/>
            <w:gridSpan w:val="4"/>
          </w:tcPr>
          <w:p>
            <w:pPr>
              <w:jc w:val="center"/>
              <w:ind w:right="81"/>
              <w:spacing w:after="0"/>
              <w:rPr>
                <w:sz w:val="20"/>
                <w:szCs w:val="20"/>
                <w:color w:val="auto"/>
              </w:rPr>
            </w:pPr>
            <w:r>
              <w:rPr>
                <w:rFonts w:ascii="Arial" w:cs="Arial" w:eastAsia="Arial" w:hAnsi="Arial"/>
                <w:sz w:val="14"/>
                <w:szCs w:val="14"/>
                <w:b w:val="1"/>
                <w:bCs w:val="1"/>
                <w:color w:val="auto"/>
                <w:w w:val="89"/>
              </w:rPr>
              <w:t>September 30,</w:t>
            </w:r>
          </w:p>
        </w:tc>
      </w:tr>
      <w:tr>
        <w:trPr>
          <w:trHeight w:val="141"/>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5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9"/>
              </w:rPr>
              <w:t>(EUR’000)</w:t>
            </w:r>
          </w:p>
        </w:tc>
        <w:tc>
          <w:tcPr>
            <w:tcW w:w="10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(64,059)</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(46,258)</w:t>
            </w:r>
          </w:p>
        </w:tc>
      </w:tr>
      <w:tr>
        <w:trPr>
          <w:trHeight w:val="215"/>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(17,523)</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(10,000)</w:t>
            </w: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(78,825)</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(54,015)</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(3,101)</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(1,338)</w:t>
            </w:r>
          </w:p>
        </w:tc>
      </w:tr>
      <w:tr>
        <w:trPr>
          <w:trHeight w:val="215"/>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30,547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(39,970)</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(368)</w:t>
            </w:r>
          </w:p>
        </w:tc>
      </w:tr>
      <w:tr>
        <w:trPr>
          <w:trHeight w:val="229"/>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(121,760</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(25,174</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5"/>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(121,741</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(25,113</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for the three months ended September 30, 2020 was €2.8 million compared to €2.2 million for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and comprised sale of clinical supply, rendering of services, and recognition of internal profit deferred from November 2018 when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the collaboration with VISEN. The increase was due to a higher amount of sale of clinical supply and services to VISEN, partly offset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a lower amount of license revenue being recognized.</w:t>
      </w:r>
    </w:p>
    <w:p>
      <w:pPr>
        <w:sectPr>
          <w:pgSz w:w="11900" w:h="16838" w:orient="portrait"/>
          <w:cols w:equalWidth="0" w:num="1">
            <w:col w:w="10960"/>
          </w:cols>
          <w:pgMar w:left="460" w:top="26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25400"/>
                    </a:xfrm>
                    <a:prstGeom prst="rect">
                      <a:avLst/>
                    </a:prstGeom>
                    <a:noFill/>
                  </pic:spPr>
                </pic:pic>
              </a:graphicData>
            </a:graphic>
          </wp:anchor>
        </w:drawing>
        <w:t>Research and Development Costs</w:t>
      </w:r>
    </w:p>
    <w:p>
      <w:pPr>
        <w:spacing w:after="0" w:line="116" w:lineRule="exact"/>
        <w:rPr>
          <w:sz w:val="20"/>
          <w:szCs w:val="20"/>
          <w:color w:val="auto"/>
        </w:rPr>
      </w:pPr>
    </w:p>
    <w:p>
      <w:pPr>
        <w:ind w:right="560" w:firstLine="439"/>
        <w:spacing w:after="0" w:line="275" w:lineRule="auto"/>
        <w:rPr>
          <w:sz w:val="20"/>
          <w:szCs w:val="20"/>
          <w:color w:val="auto"/>
        </w:rPr>
      </w:pPr>
      <w:r>
        <w:rPr>
          <w:rFonts w:ascii="Arial" w:cs="Arial" w:eastAsia="Arial" w:hAnsi="Arial"/>
          <w:sz w:val="18"/>
          <w:szCs w:val="18"/>
          <w:color w:val="auto"/>
        </w:rPr>
        <w:t>Research and development costs were €64.1 million for the three months ended September 30, 2020, an increase of €17.8 million, or 38%, compared to €46.3 million for the three months ended September 30, 2019.</w:t>
      </w:r>
    </w:p>
    <w:p>
      <w:pPr>
        <w:spacing w:after="0" w:line="171"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color w:val="auto"/>
        </w:rPr>
        <w:t>External development costs related to lonapegsomatropin, primarily comprising manufacturing of product supply and costs of clinical trials, increased by €1.2 million compared to the same period last year, reflecting higher costs for manufacturing of product supply, partly reduced by lower costs for manufacturing of validation batches and device development. Costs of clinical trials and clinical supplies were slightly higher compared to the same period last year.</w:t>
      </w:r>
    </w:p>
    <w:p>
      <w:pPr>
        <w:spacing w:after="0" w:line="186"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color w:val="auto"/>
        </w:rPr>
        <w:t>External development costs related to TransCon PTH increased by €3.7 million, primarily reflecting increased costs related to manufacturing and device development, whereas clinical trial costs and clinical supplies were in line with the same period last year.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External development costs related to TransCon CNP increased by €1.4 million, primarily reflecting an increase in manufacturing costs.</w:t>
      </w:r>
    </w:p>
    <w:p>
      <w:pPr>
        <w:spacing w:after="0" w:line="235" w:lineRule="exact"/>
        <w:rPr>
          <w:sz w:val="20"/>
          <w:szCs w:val="20"/>
          <w:color w:val="auto"/>
        </w:rPr>
      </w:pPr>
    </w:p>
    <w:p>
      <w:pPr>
        <w:ind w:right="160" w:firstLine="439"/>
        <w:spacing w:after="0" w:line="275" w:lineRule="auto"/>
        <w:rPr>
          <w:sz w:val="20"/>
          <w:szCs w:val="20"/>
          <w:color w:val="auto"/>
        </w:rPr>
      </w:pPr>
      <w:r>
        <w:rPr>
          <w:rFonts w:ascii="Arial" w:cs="Arial" w:eastAsia="Arial" w:hAnsi="Arial"/>
          <w:sz w:val="18"/>
          <w:szCs w:val="18"/>
          <w:color w:val="auto"/>
        </w:rPr>
        <w:t>External development costs related to our oncology product candidates increased by €4.1 million, primarily reflecting higher manufacturing and preclinical costs.</w:t>
      </w:r>
    </w:p>
    <w:p>
      <w:pPr>
        <w:spacing w:after="0" w:line="171" w:lineRule="exact"/>
        <w:rPr>
          <w:sz w:val="20"/>
          <w:szCs w:val="20"/>
          <w:color w:val="auto"/>
        </w:rPr>
      </w:pPr>
    </w:p>
    <w:p>
      <w:pPr>
        <w:ind w:right="80" w:firstLine="439"/>
        <w:spacing w:after="0" w:line="300" w:lineRule="auto"/>
        <w:rPr>
          <w:sz w:val="20"/>
          <w:szCs w:val="20"/>
          <w:color w:val="auto"/>
        </w:rPr>
      </w:pPr>
      <w:r>
        <w:rPr>
          <w:rFonts w:ascii="Arial" w:cs="Arial" w:eastAsia="Arial" w:hAnsi="Arial"/>
          <w:sz w:val="16"/>
          <w:szCs w:val="16"/>
          <w:color w:val="auto"/>
        </w:rPr>
        <w:t>Other research and development costs increased by €7.4 million, primarily driven by an increase in personnel costs of €4.3 million and non-cash share-based payment of €2.0 million due to a higher number of employees in research and development functions. Other costs allocated to research and development functions increased by a total of €2.1 million, including IT and telecommunication, laboratory operations, depreciation and professional fees. Travel costs decreased by €1.0 million, primarily reflecting the reduction in travel activity due to the COVID-19 pandemic.</w:t>
      </w:r>
    </w:p>
    <w:p>
      <w:pPr>
        <w:spacing w:after="0" w:line="156" w:lineRule="exact"/>
        <w:rPr>
          <w:sz w:val="20"/>
          <w:szCs w:val="20"/>
          <w:color w:val="auto"/>
        </w:rPr>
      </w:pPr>
    </w:p>
    <w:p>
      <w:pPr>
        <w:ind w:right="660" w:firstLine="439"/>
        <w:spacing w:after="0" w:line="275" w:lineRule="auto"/>
        <w:rPr>
          <w:sz w:val="20"/>
          <w:szCs w:val="20"/>
          <w:color w:val="auto"/>
        </w:rPr>
      </w:pPr>
      <w:r>
        <w:rPr>
          <w:rFonts w:ascii="Arial" w:cs="Arial" w:eastAsia="Arial" w:hAnsi="Arial"/>
          <w:sz w:val="18"/>
          <w:szCs w:val="18"/>
          <w:color w:val="auto"/>
        </w:rPr>
        <w:t>Research and development costs included non-cash share-based payment of €7.0 million for the three months ended September 30, 2020, compared to €5.1 million for the three months ended September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6"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Selling, general and administrative expenses were €17.5 million for the three months ended September 30, 2020, an increase of €7.5 million, or 75%, compared to €10.0 million for the three months ended September 30, 2019. The higher expenses were primarily due to an increase in personnel costs of €3.0 million and non-cash share-based payment of €0.4 million for additional commercial and administrative personnel. Other costs allocated to selling, general and administrative functions increased by a total of €4.4 million, primarily reflecting the implementation of a new ERP-system and professional fees for building our commercial business. Travel costs decreased by €0.3 million, reflecting the reduction in travel activity due to the COVID-19 pandemic.</w:t>
      </w:r>
    </w:p>
    <w:p>
      <w:pPr>
        <w:spacing w:after="0" w:line="192"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color w:val="auto"/>
        </w:rPr>
        <w:t>Selling, general and administrative expenses included non-cash share-based payment of €3.4 million for the three months ended September 30, 2020, compared to €3.0 million for the three months ended September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6" w:lineRule="exact"/>
        <w:rPr>
          <w:sz w:val="20"/>
          <w:szCs w:val="20"/>
          <w:color w:val="auto"/>
        </w:rPr>
      </w:pPr>
    </w:p>
    <w:p>
      <w:pPr>
        <w:ind w:right="20" w:firstLine="439"/>
        <w:spacing w:after="0" w:line="275" w:lineRule="auto"/>
        <w:rPr>
          <w:sz w:val="20"/>
          <w:szCs w:val="20"/>
          <w:color w:val="auto"/>
        </w:rPr>
      </w:pPr>
      <w:r>
        <w:rPr>
          <w:rFonts w:ascii="Arial" w:cs="Arial" w:eastAsia="Arial" w:hAnsi="Arial"/>
          <w:sz w:val="18"/>
          <w:szCs w:val="18"/>
          <w:color w:val="auto"/>
        </w:rPr>
        <w:t>Net loss in associate was €3.1 million, compared to €1.3 million for the three months ended September 30, 2019. The net loss represents our share of net result from VISEN.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6" w:lineRule="exact"/>
        <w:rPr>
          <w:sz w:val="20"/>
          <w:szCs w:val="20"/>
          <w:color w:val="auto"/>
        </w:rPr>
      </w:pPr>
    </w:p>
    <w:p>
      <w:pPr>
        <w:ind w:right="20" w:firstLine="439"/>
        <w:spacing w:after="0" w:line="285" w:lineRule="auto"/>
        <w:rPr>
          <w:sz w:val="20"/>
          <w:szCs w:val="20"/>
          <w:color w:val="auto"/>
        </w:rPr>
      </w:pPr>
      <w:r>
        <w:rPr>
          <w:rFonts w:ascii="Arial" w:cs="Arial" w:eastAsia="Arial" w:hAnsi="Arial"/>
          <w:sz w:val="16"/>
          <w:szCs w:val="16"/>
          <w:color w:val="auto"/>
        </w:rPr>
        <w:t>Finance income was €0.1 million for the three months ended September 30, 2020 compared to €30.5 million for the three months ended September 30, 2019. Finance expenses were €40.0 million for the three months ended September 30, 2020 compared to €0.4 million for the same period in 2019. As we hold positions of marketable securities and cash and cash equivalents in U.S. Dollar, we are affected by exchange rate fluctuations when reporting our financial results in Euro. For the three months ended September 30, 2020, we recognized an exchange rate loss when reporting our</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U.S. Dollar positions in Euro, reflecting negative exchange rate fluctuations, whereas we recognized a gain for the same period in 2019, reflecting positive exchange rate fluctuations, primarily between the U.S. Dollar and Euro. Further, the change in net finance income reflects a decrease in interest income of €3.0 million due to declining interest rates.</w:t>
      </w:r>
    </w:p>
    <w:p>
      <w:pPr>
        <w:spacing w:after="0" w:line="189" w:lineRule="exact"/>
        <w:rPr>
          <w:sz w:val="20"/>
          <w:szCs w:val="20"/>
          <w:color w:val="auto"/>
        </w:rPr>
      </w:pPr>
    </w:p>
    <w:p>
      <w:pPr>
        <w:ind w:right="700" w:firstLine="439"/>
        <w:spacing w:after="0" w:line="275"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6" w:lineRule="exact"/>
        <w:rPr>
          <w:sz w:val="20"/>
          <w:szCs w:val="20"/>
          <w:color w:val="auto"/>
        </w:rPr>
      </w:pPr>
    </w:p>
    <w:p>
      <w:pPr>
        <w:ind w:firstLine="439"/>
        <w:spacing w:after="0" w:line="285" w:lineRule="auto"/>
        <w:rPr>
          <w:sz w:val="20"/>
          <w:szCs w:val="20"/>
          <w:color w:val="auto"/>
        </w:rPr>
      </w:pPr>
      <w:r>
        <w:rPr>
          <w:rFonts w:ascii="Arial" w:cs="Arial" w:eastAsia="Arial" w:hAnsi="Arial"/>
          <w:sz w:val="17"/>
          <w:szCs w:val="17"/>
          <w:color w:val="auto"/>
        </w:rPr>
        <w:t>Tax for the three months ended September 30, 2020 was a net tax credit of €19 thousand compared to a net tax credit of €61 thousand for the three months ended September 30, 2019. Taxes for the three months ended September 30, 2020 comprised an estimated tax credit of €186 thousand in the group of Danish companies, partly offset by tax provisions of €167 thousand in our U.S. and German subsidiaries.</w:t>
      </w:r>
    </w:p>
    <w:p>
      <w:pPr>
        <w:sectPr>
          <w:pgSz w:w="11900" w:h="16838" w:orient="portrait"/>
          <w:cols w:equalWidth="0" w:num="1">
            <w:col w:w="10940"/>
          </w:cols>
          <w:pgMar w:left="460" w:top="273"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25400"/>
                    </a:xfrm>
                    <a:prstGeom prst="rect">
                      <a:avLst/>
                    </a:prstGeom>
                    <a:noFill/>
                  </pic:spPr>
                </pic:pic>
              </a:graphicData>
            </a:graphic>
          </wp:anchor>
        </w:drawing>
        <w:t>Comparison of the Nine Months Ended September 30, 2020 and 2019 (unaudited):</w:t>
      </w:r>
    </w:p>
    <w:p>
      <w:pPr>
        <w:spacing w:after="0" w:line="242"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Nine Months Ended</w:t>
      </w:r>
    </w:p>
    <w:p>
      <w:pPr>
        <w:jc w:val="center"/>
        <w:ind w:left="6500"/>
        <w:spacing w:after="0" w:line="235" w:lineRule="auto"/>
        <w:rPr>
          <w:sz w:val="20"/>
          <w:szCs w:val="20"/>
          <w:color w:val="auto"/>
        </w:rPr>
      </w:pPr>
      <w:r>
        <w:rPr>
          <w:rFonts w:ascii="Arial" w:cs="Arial" w:eastAsia="Arial" w:hAnsi="Arial"/>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0" w:type="dxa"/>
            <w:vAlign w:val="bottom"/>
            <w:gridSpan w:val="3"/>
          </w:tcPr>
          <w:p>
            <w:pPr>
              <w:jc w:val="right"/>
              <w:ind w:right="392"/>
              <w:spacing w:after="0" w:line="141"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w w:val="93"/>
              </w:rPr>
              <w:t>(185,152)</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(141,343)</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(56,243)</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(31,396)</w:t>
            </w: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(234,977)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(161,871)</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associates</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(6,501)</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(5,452)</w:t>
            </w:r>
          </w:p>
        </w:tc>
      </w:tr>
      <w:tr>
        <w:trPr>
          <w:trHeight w:val="215"/>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1,677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30,285</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(40,391)</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(812)</w:t>
            </w:r>
          </w:p>
        </w:tc>
      </w:tr>
      <w:tr>
        <w:trPr>
          <w:trHeight w:val="229"/>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(280,192</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(137,850</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(279,990</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(137,654</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for the nine months ended September 30, 2020 was €6.4 million compared to €10.9 million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2019, and comprised sale of clinical supply, rendering of services, and recognition of internal profit deferred from November 2018 when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the collaboration with VISEN. The decrease was due to a lower amount of license and service revenue, partly offset by sale of clinical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supply, to VISEN.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6" w:lineRule="exact"/>
        <w:rPr>
          <w:sz w:val="20"/>
          <w:szCs w:val="20"/>
          <w:color w:val="auto"/>
        </w:rPr>
      </w:pPr>
    </w:p>
    <w:p>
      <w:pPr>
        <w:ind w:right="500" w:firstLine="439"/>
        <w:spacing w:after="0" w:line="275" w:lineRule="auto"/>
        <w:rPr>
          <w:sz w:val="20"/>
          <w:szCs w:val="20"/>
          <w:color w:val="auto"/>
        </w:rPr>
      </w:pPr>
      <w:r>
        <w:rPr>
          <w:rFonts w:ascii="Arial" w:cs="Arial" w:eastAsia="Arial" w:hAnsi="Arial"/>
          <w:sz w:val="18"/>
          <w:szCs w:val="18"/>
          <w:color w:val="auto"/>
        </w:rPr>
        <w:t>Research and development costs were €185.2 million for the nine months ended September 30, 2020, an increase of €43.9 million, or 31%, compared to €141.3 million for the nine months ended September 30, 2019.</w:t>
      </w:r>
    </w:p>
    <w:p>
      <w:pPr>
        <w:spacing w:after="0" w:line="171" w:lineRule="exact"/>
        <w:rPr>
          <w:sz w:val="20"/>
          <w:szCs w:val="20"/>
          <w:color w:val="auto"/>
        </w:rPr>
      </w:pPr>
    </w:p>
    <w:p>
      <w:pPr>
        <w:ind w:firstLine="439"/>
        <w:spacing w:after="0" w:line="285" w:lineRule="auto"/>
        <w:rPr>
          <w:sz w:val="20"/>
          <w:szCs w:val="20"/>
          <w:color w:val="auto"/>
        </w:rPr>
      </w:pPr>
      <w:r>
        <w:rPr>
          <w:rFonts w:ascii="Arial" w:cs="Arial" w:eastAsia="Arial" w:hAnsi="Arial"/>
          <w:sz w:val="17"/>
          <w:szCs w:val="17"/>
          <w:color w:val="auto"/>
        </w:rPr>
        <w:t>External development costs related to lonapegsomatropin decreased by €3.2 million, primarily driven by lower costs for manufacturing of validation batches, or process performance qualification batches, and device development costs, partly offset by increases in clinical trial costs and costs of commercial product supply, as well as costs related to regulatory, statistical and medical activities preparing for the BLA-filing.</w:t>
      </w:r>
    </w:p>
    <w:p>
      <w:pPr>
        <w:spacing w:after="0" w:line="165" w:lineRule="exact"/>
        <w:rPr>
          <w:sz w:val="20"/>
          <w:szCs w:val="20"/>
          <w:color w:val="auto"/>
        </w:rPr>
      </w:pPr>
    </w:p>
    <w:p>
      <w:pPr>
        <w:ind w:right="160" w:firstLine="439"/>
        <w:spacing w:after="0" w:line="262" w:lineRule="auto"/>
        <w:rPr>
          <w:sz w:val="20"/>
          <w:szCs w:val="20"/>
          <w:color w:val="auto"/>
        </w:rPr>
      </w:pPr>
      <w:r>
        <w:rPr>
          <w:rFonts w:ascii="Arial" w:cs="Arial" w:eastAsia="Arial" w:hAnsi="Arial"/>
          <w:sz w:val="18"/>
          <w:szCs w:val="18"/>
          <w:color w:val="auto"/>
        </w:rPr>
        <w:t>External development costs related to TransCon PTH increased by €6.7 million, reflecting increased clinical trial costs related to the progress of our phase 2 PaTH Forward clinical trial, increased costs of device development, and increased cost of biometric activities, whereas preclinical costs decreased compared to the same period last year.</w:t>
      </w:r>
    </w:p>
    <w:p>
      <w:pPr>
        <w:spacing w:after="0" w:line="183" w:lineRule="exact"/>
        <w:rPr>
          <w:sz w:val="20"/>
          <w:szCs w:val="20"/>
          <w:color w:val="auto"/>
        </w:rPr>
      </w:pPr>
    </w:p>
    <w:p>
      <w:pPr>
        <w:ind w:right="460" w:firstLine="439"/>
        <w:spacing w:after="0" w:line="275" w:lineRule="auto"/>
        <w:rPr>
          <w:sz w:val="20"/>
          <w:szCs w:val="20"/>
          <w:color w:val="auto"/>
        </w:rPr>
      </w:pPr>
      <w:r>
        <w:rPr>
          <w:rFonts w:ascii="Arial" w:cs="Arial" w:eastAsia="Arial" w:hAnsi="Arial"/>
          <w:sz w:val="18"/>
          <w:szCs w:val="18"/>
          <w:color w:val="auto"/>
        </w:rPr>
        <w:t>External development costs related to TransCon CNP increased by €3.4 million, primarily reflecting an increase in manufacturing costs and clinical trial costs for our phase 2 ACcomplisH Trial, partly offset by a decrease in preclinical costs.</w:t>
      </w:r>
    </w:p>
    <w:p>
      <w:pPr>
        <w:spacing w:after="0" w:line="171" w:lineRule="exact"/>
        <w:rPr>
          <w:sz w:val="20"/>
          <w:szCs w:val="20"/>
          <w:color w:val="auto"/>
        </w:rPr>
      </w:pPr>
    </w:p>
    <w:p>
      <w:pPr>
        <w:ind w:right="100" w:firstLine="439"/>
        <w:spacing w:after="0" w:line="306" w:lineRule="auto"/>
        <w:rPr>
          <w:sz w:val="20"/>
          <w:szCs w:val="20"/>
          <w:color w:val="auto"/>
        </w:rPr>
      </w:pPr>
      <w:r>
        <w:rPr>
          <w:rFonts w:ascii="Arial" w:cs="Arial" w:eastAsia="Arial" w:hAnsi="Arial"/>
          <w:sz w:val="17"/>
          <w:szCs w:val="17"/>
          <w:color w:val="auto"/>
        </w:rPr>
        <w:t>External costs related to our oncology product candidates increased by €10.0 million, primarily reflecting an increase in manufacturing costs and preclinical costs as these product candidates progress through the early development stages and into manufacturing.</w:t>
      </w:r>
    </w:p>
    <w:p>
      <w:pPr>
        <w:spacing w:after="0" w:line="14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Other research and development costs increased by €27.0 million, primarily driven by an increase in personnel costs of €14.2 million and non-cash share-based payment of €8.9 million due to a higher number of employees in research and development functions, but also reflecting increases of €2.3 million in IT and telecommunication costs and €1.7 million in facility costs and depreciation allocated to research and development functions. Other costs, including laboratory operations, supplies and professional fees, increased by net €1.9 million compared to the same period last year. Travel costs decreased by €2.0 million, primarily due to the COVID-19 pandemic.</w:t>
      </w:r>
    </w:p>
    <w:p>
      <w:pPr>
        <w:spacing w:after="0" w:line="188" w:lineRule="exact"/>
        <w:rPr>
          <w:sz w:val="20"/>
          <w:szCs w:val="20"/>
          <w:color w:val="auto"/>
        </w:rPr>
      </w:pPr>
    </w:p>
    <w:p>
      <w:pPr>
        <w:ind w:right="600" w:firstLine="439"/>
        <w:spacing w:after="0" w:line="275" w:lineRule="auto"/>
        <w:rPr>
          <w:sz w:val="20"/>
          <w:szCs w:val="20"/>
          <w:color w:val="auto"/>
        </w:rPr>
      </w:pPr>
      <w:r>
        <w:rPr>
          <w:rFonts w:ascii="Arial" w:cs="Arial" w:eastAsia="Arial" w:hAnsi="Arial"/>
          <w:sz w:val="18"/>
          <w:szCs w:val="18"/>
          <w:color w:val="auto"/>
        </w:rPr>
        <w:t>Research and development costs included non-cash share-based payment of €24.1 million for the nine months ended September 30, 2020, compared to €15.2 million for the nine months ended September 30, 2019.</w:t>
      </w:r>
    </w:p>
    <w:p>
      <w:pPr>
        <w:sectPr>
          <w:pgSz w:w="11900" w:h="16838" w:orient="portrait"/>
          <w:cols w:equalWidth="0" w:num="1">
            <w:col w:w="10920"/>
          </w:cols>
          <w:pgMar w:left="460" w:top="273"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25400"/>
                    </a:xfrm>
                    <a:prstGeom prst="rect">
                      <a:avLst/>
                    </a:prstGeom>
                    <a:noFill/>
                  </pic:spPr>
                </pic:pic>
              </a:graphicData>
            </a:graphic>
          </wp:anchor>
        </w:drawing>
        <w:t>Selling, General and Administrative Expenses</w:t>
      </w:r>
    </w:p>
    <w:p>
      <w:pPr>
        <w:spacing w:after="0" w:line="116" w:lineRule="exact"/>
        <w:rPr>
          <w:sz w:val="20"/>
          <w:szCs w:val="20"/>
          <w:color w:val="auto"/>
        </w:rPr>
      </w:pPr>
    </w:p>
    <w:p>
      <w:pPr>
        <w:ind w:right="100" w:firstLine="439"/>
        <w:spacing w:after="0" w:line="272" w:lineRule="auto"/>
        <w:rPr>
          <w:sz w:val="20"/>
          <w:szCs w:val="20"/>
          <w:color w:val="auto"/>
        </w:rPr>
      </w:pPr>
      <w:r>
        <w:rPr>
          <w:rFonts w:ascii="Arial" w:cs="Arial" w:eastAsia="Arial" w:hAnsi="Arial"/>
          <w:sz w:val="17"/>
          <w:szCs w:val="17"/>
          <w:color w:val="auto"/>
        </w:rPr>
        <w:t>Selling, general and administrative expenses were €56.2 million for the nine months ended September 30, 2020, an increase of €24.8 million, or 79%, compared to €31.4 million for the nine months ended September 30, 2019. The higher expenses were primarily due to an increase in personnel costs of €7.6 million and non-cash share-based payment of €3.7 million for additional commercial and administrative personnel. IT costs increased by €4.0 million and insurance costs increased by €2.4 million. Professional fees, primarily related to building up our commercial capabilities, increased by €6.8 million. Travel costs decreased by €0.6 million, primarily due to the COVID-19 pandemic, and other costs, including facility costs and depreciation, increased by net €0.9 million compared to the same period last year.</w:t>
      </w:r>
    </w:p>
    <w:p>
      <w:pPr>
        <w:spacing w:after="0" w:line="177" w:lineRule="exact"/>
        <w:rPr>
          <w:sz w:val="20"/>
          <w:szCs w:val="20"/>
          <w:color w:val="auto"/>
        </w:rPr>
      </w:pPr>
    </w:p>
    <w:p>
      <w:pPr>
        <w:ind w:right="220" w:firstLine="439"/>
        <w:spacing w:after="0" w:line="275" w:lineRule="auto"/>
        <w:rPr>
          <w:sz w:val="20"/>
          <w:szCs w:val="20"/>
          <w:color w:val="auto"/>
        </w:rPr>
      </w:pPr>
      <w:r>
        <w:rPr>
          <w:rFonts w:ascii="Arial" w:cs="Arial" w:eastAsia="Arial" w:hAnsi="Arial"/>
          <w:sz w:val="18"/>
          <w:szCs w:val="18"/>
          <w:color w:val="auto"/>
        </w:rPr>
        <w:t>Selling, general and administrative expenses included non-cash share-based payment of €14.7 million for the nine months ended September 30, 2020, compared to €11.0 million for the nine months ended September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6"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color w:val="auto"/>
        </w:rPr>
        <w:t>Net loss in associate was €6.5 million, compared to €5.5 million for the nine months ended September 30, 2019. The net loss represents our share of net result from VISEN.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6" w:lineRule="exact"/>
        <w:rPr>
          <w:sz w:val="20"/>
          <w:szCs w:val="20"/>
          <w:color w:val="auto"/>
        </w:rPr>
      </w:pPr>
    </w:p>
    <w:p>
      <w:pPr>
        <w:ind w:right="60" w:firstLine="439"/>
        <w:spacing w:after="0" w:line="285" w:lineRule="auto"/>
        <w:rPr>
          <w:sz w:val="20"/>
          <w:szCs w:val="20"/>
          <w:color w:val="auto"/>
        </w:rPr>
      </w:pPr>
      <w:r>
        <w:rPr>
          <w:rFonts w:ascii="Arial" w:cs="Arial" w:eastAsia="Arial" w:hAnsi="Arial"/>
          <w:sz w:val="16"/>
          <w:szCs w:val="16"/>
          <w:color w:val="auto"/>
        </w:rPr>
        <w:t>Finance income was €1.7 million for the nine months ended September 30, 2020 compared to €30.3 million for the nine months ended September 30, 2019. Finance expenses were €40.4 million for the nine months ended September 30, 2020 compared to €0.8 million in the same period in 2019. As we hold positions of marketable securities and cash and cash equivalents in U.S. Dollar, we are affected by exchange rate fluctuations when reporting our financial results in Euro. For the nine months ended September 30, 2020, we recognized an exchange rate loss when reporting our</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U.S. Dollar positions in Euro, reflecting negative exchange rate fluctuations, whereas we recognized a gain for the same period in 2019, reflecting positive exchange rate fluctuations, primarily between the U.S. Dollar and Euro. Further, the change reflects a €6.4 million decrease in interest income due to declining interest rates compared to the same period of last year.</w:t>
      </w:r>
    </w:p>
    <w:p>
      <w:pPr>
        <w:spacing w:after="0" w:line="189" w:lineRule="exact"/>
        <w:rPr>
          <w:sz w:val="20"/>
          <w:szCs w:val="20"/>
          <w:color w:val="auto"/>
        </w:rPr>
      </w:pPr>
    </w:p>
    <w:p>
      <w:pPr>
        <w:ind w:right="720" w:firstLine="439"/>
        <w:spacing w:after="0" w:line="275"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6" w:lineRule="exact"/>
        <w:rPr>
          <w:sz w:val="20"/>
          <w:szCs w:val="20"/>
          <w:color w:val="auto"/>
        </w:rPr>
      </w:pPr>
    </w:p>
    <w:p>
      <w:pPr>
        <w:ind w:right="320" w:firstLine="439"/>
        <w:spacing w:after="0" w:line="262" w:lineRule="auto"/>
        <w:rPr>
          <w:sz w:val="20"/>
          <w:szCs w:val="20"/>
          <w:color w:val="auto"/>
        </w:rPr>
      </w:pPr>
      <w:r>
        <w:rPr>
          <w:rFonts w:ascii="Arial" w:cs="Arial" w:eastAsia="Arial" w:hAnsi="Arial"/>
          <w:sz w:val="18"/>
          <w:szCs w:val="18"/>
          <w:color w:val="auto"/>
        </w:rPr>
        <w:t>Tax for the nine months ended September 30, 2020 was a net credit of €0.2 million in line with a net credit of €0.2 million for the nine months ended September 30, 2019. Taxes for the nine months ended September 30, 2020 comprised an estimated tax credit of €0.6 million in the group of Danish companies partly offset by tax expenses of €0.4 million in our U.S. and German subsidiaries.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As of September 30, 2020, we had cash and cash equivalents, where cash equivalents comprise highly liquid marketable securities with a maturity of three months or less at the date of acquisition, totaling €763.5 million compared to €598.1 million as of December 31, 2019. In addition, in order to mitigate concentration of credit risks on cash deposits, we held marketable securities of €194.1 million, all denominated in U.S. Dollar and with a weighted average duration of 5.5 months from the reporting date.</w:t>
      </w:r>
    </w:p>
    <w:p>
      <w:pPr>
        <w:spacing w:after="0" w:line="186" w:lineRule="exact"/>
        <w:rPr>
          <w:sz w:val="20"/>
          <w:szCs w:val="20"/>
          <w:color w:val="auto"/>
        </w:rPr>
      </w:pPr>
    </w:p>
    <w:p>
      <w:pPr>
        <w:ind w:firstLine="439"/>
        <w:spacing w:after="0" w:line="310" w:lineRule="auto"/>
        <w:rPr>
          <w:sz w:val="20"/>
          <w:szCs w:val="20"/>
          <w:color w:val="auto"/>
        </w:rPr>
      </w:pPr>
      <w:r>
        <w:rPr>
          <w:rFonts w:ascii="Arial" w:cs="Arial" w:eastAsia="Arial" w:hAnsi="Arial"/>
          <w:sz w:val="16"/>
          <w:szCs w:val="16"/>
          <w:color w:val="auto"/>
        </w:rPr>
        <w:t>We have funded our operations primarily through issuance of preference shares, ordinary shares and convertible debt securities and payments to us under our collaboration agreements. Our expenditures are primarily related to research and development activities, and general and administrative activities to support research and development, as well as initial selling activities, building up our sales and marketing capabilities.</w:t>
      </w:r>
    </w:p>
    <w:p>
      <w:pPr>
        <w:spacing w:after="0" w:line="148"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7" w:lineRule="exact"/>
        <w:rPr>
          <w:sz w:val="20"/>
          <w:szCs w:val="20"/>
          <w:color w:val="auto"/>
        </w:rPr>
      </w:pPr>
    </w:p>
    <w:p>
      <w:pPr>
        <w:ind w:left="1400" w:hanging="423"/>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29" w:lineRule="exact"/>
        <w:rPr>
          <w:rFonts w:ascii="Arial" w:cs="Arial" w:eastAsia="Arial" w:hAnsi="Arial"/>
          <w:sz w:val="18"/>
          <w:szCs w:val="18"/>
          <w:color w:val="auto"/>
        </w:rPr>
      </w:pPr>
    </w:p>
    <w:p>
      <w:pPr>
        <w:ind w:left="1400" w:hanging="423"/>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29" w:lineRule="exact"/>
        <w:rPr>
          <w:rFonts w:ascii="Arial" w:cs="Arial" w:eastAsia="Arial" w:hAnsi="Arial"/>
          <w:sz w:val="18"/>
          <w:szCs w:val="18"/>
          <w:color w:val="auto"/>
        </w:rPr>
      </w:pPr>
    </w:p>
    <w:p>
      <w:pPr>
        <w:ind w:left="1400" w:hanging="423"/>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29" w:lineRule="exact"/>
        <w:rPr>
          <w:rFonts w:ascii="Arial" w:cs="Arial" w:eastAsia="Arial" w:hAnsi="Arial"/>
          <w:sz w:val="18"/>
          <w:szCs w:val="18"/>
          <w:color w:val="auto"/>
        </w:rPr>
      </w:pPr>
    </w:p>
    <w:p>
      <w:pPr>
        <w:ind w:left="1400" w:hanging="423"/>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 and</w:t>
      </w:r>
    </w:p>
    <w:p>
      <w:pPr>
        <w:spacing w:after="0" w:line="129" w:lineRule="exact"/>
        <w:rPr>
          <w:rFonts w:ascii="Arial" w:cs="Arial" w:eastAsia="Arial" w:hAnsi="Arial"/>
          <w:sz w:val="18"/>
          <w:szCs w:val="18"/>
          <w:color w:val="auto"/>
        </w:rPr>
      </w:pPr>
    </w:p>
    <w:p>
      <w:pPr>
        <w:ind w:left="1400" w:hanging="423"/>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2020, with net proceeds of $654.6 million (or €580.5 million).</w:t>
      </w:r>
    </w:p>
    <w:p>
      <w:pPr>
        <w:spacing w:after="0" w:line="223" w:lineRule="exact"/>
        <w:rPr>
          <w:sz w:val="20"/>
          <w:szCs w:val="20"/>
          <w:color w:val="auto"/>
        </w:rPr>
      </w:pPr>
    </w:p>
    <w:p>
      <w:pPr>
        <w:ind w:right="140" w:firstLine="439"/>
        <w:spacing w:after="0" w:line="258"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September 30, 2020,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960" w:right="380" w:hanging="534"/>
        <w:spacing w:after="0" w:line="275"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timing, scope, results and costs of our clinical trials and preclinical studies for our product candidates and manufacturing activities, including the ability to enroll patients in a timely manner for clinical trials;</w:t>
      </w:r>
    </w:p>
    <w:p>
      <w:pPr>
        <w:sectPr>
          <w:pgSz w:w="11900" w:h="16838" w:orient="portrait"/>
          <w:cols w:equalWidth="0" w:num="1">
            <w:col w:w="10960"/>
          </w:cols>
          <w:pgMar w:left="460" w:top="273" w:right="479" w:bottom="1440" w:gutter="0" w:footer="0" w:header="0"/>
        </w:sectPr>
      </w:pPr>
    </w:p>
    <w:bookmarkStart w:id="25" w:name="page26"/>
    <w:bookmarkEnd w:id="25"/>
    <w:p>
      <w:pPr>
        <w:ind w:left="960" w:right="80" w:hanging="534"/>
        <w:spacing w:after="0" w:line="27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25400"/>
                    </a:xfrm>
                    <a:prstGeom prst="rect">
                      <a:avLst/>
                    </a:prstGeom>
                    <a:noFill/>
                  </pic:spPr>
                </pic:pic>
              </a:graphicData>
            </a:graphic>
          </wp:anchor>
        </w:drawing>
        <w:t>the time and cost necessary to obtain regulatory approvals for our product candidates and the costs of post-marketing studies that could be required by regulatory authorities;</w:t>
      </w:r>
    </w:p>
    <w:p>
      <w:pPr>
        <w:spacing w:after="0" w:line="77" w:lineRule="exact"/>
        <w:rPr>
          <w:rFonts w:ascii="Arial" w:cs="Arial" w:eastAsia="Arial" w:hAnsi="Arial"/>
          <w:sz w:val="18"/>
          <w:szCs w:val="18"/>
          <w:color w:val="auto"/>
        </w:rPr>
      </w:pPr>
    </w:p>
    <w:p>
      <w:pPr>
        <w:ind w:left="960" w:right="80" w:hanging="534"/>
        <w:spacing w:after="0" w:line="27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7" w:lineRule="exact"/>
        <w:rPr>
          <w:rFonts w:ascii="Arial" w:cs="Arial" w:eastAsia="Arial" w:hAnsi="Arial"/>
          <w:sz w:val="18"/>
          <w:szCs w:val="18"/>
          <w:color w:val="auto"/>
        </w:rPr>
      </w:pPr>
    </w:p>
    <w:p>
      <w:pPr>
        <w:ind w:left="960" w:hanging="534"/>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2" w:lineRule="exact"/>
        <w:rPr>
          <w:rFonts w:ascii="Arial" w:cs="Arial" w:eastAsia="Arial" w:hAnsi="Arial"/>
          <w:sz w:val="16"/>
          <w:szCs w:val="16"/>
          <w:color w:val="auto"/>
        </w:rPr>
      </w:pPr>
    </w:p>
    <w:p>
      <w:pPr>
        <w:ind w:left="960" w:right="160" w:hanging="534"/>
        <w:spacing w:after="0" w:line="27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7" w:lineRule="exact"/>
        <w:rPr>
          <w:rFonts w:ascii="Arial" w:cs="Arial" w:eastAsia="Arial" w:hAnsi="Arial"/>
          <w:sz w:val="18"/>
          <w:szCs w:val="18"/>
          <w:color w:val="auto"/>
        </w:rPr>
      </w:pPr>
    </w:p>
    <w:p>
      <w:pPr>
        <w:ind w:left="960" w:hanging="53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29" w:lineRule="exact"/>
        <w:rPr>
          <w:rFonts w:ascii="Arial" w:cs="Arial" w:eastAsia="Arial" w:hAnsi="Arial"/>
          <w:sz w:val="18"/>
          <w:szCs w:val="18"/>
          <w:color w:val="auto"/>
        </w:rPr>
      </w:pPr>
    </w:p>
    <w:p>
      <w:pPr>
        <w:ind w:left="960" w:hanging="53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29" w:lineRule="exact"/>
        <w:rPr>
          <w:rFonts w:ascii="Arial" w:cs="Arial" w:eastAsia="Arial" w:hAnsi="Arial"/>
          <w:sz w:val="18"/>
          <w:szCs w:val="18"/>
          <w:color w:val="auto"/>
        </w:rPr>
      </w:pPr>
    </w:p>
    <w:p>
      <w:pPr>
        <w:ind w:left="960" w:hanging="53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29" w:lineRule="exact"/>
        <w:rPr>
          <w:rFonts w:ascii="Arial" w:cs="Arial" w:eastAsia="Arial" w:hAnsi="Arial"/>
          <w:sz w:val="18"/>
          <w:szCs w:val="18"/>
          <w:color w:val="auto"/>
        </w:rPr>
      </w:pPr>
    </w:p>
    <w:p>
      <w:pPr>
        <w:ind w:left="960" w:hanging="53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29" w:lineRule="exact"/>
        <w:rPr>
          <w:rFonts w:ascii="Arial" w:cs="Arial" w:eastAsia="Arial" w:hAnsi="Arial"/>
          <w:sz w:val="18"/>
          <w:szCs w:val="18"/>
          <w:color w:val="auto"/>
        </w:rPr>
      </w:pPr>
    </w:p>
    <w:p>
      <w:pPr>
        <w:ind w:left="960" w:hanging="53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29" w:lineRule="exact"/>
        <w:rPr>
          <w:rFonts w:ascii="Arial" w:cs="Arial" w:eastAsia="Arial" w:hAnsi="Arial"/>
          <w:sz w:val="18"/>
          <w:szCs w:val="18"/>
          <w:color w:val="auto"/>
        </w:rPr>
      </w:pPr>
    </w:p>
    <w:p>
      <w:pPr>
        <w:ind w:left="960" w:right="640" w:hanging="534"/>
        <w:spacing w:after="0" w:line="27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7" w:lineRule="exact"/>
        <w:rPr>
          <w:rFonts w:ascii="Arial" w:cs="Arial" w:eastAsia="Arial" w:hAnsi="Arial"/>
          <w:sz w:val="18"/>
          <w:szCs w:val="18"/>
          <w:color w:val="auto"/>
        </w:rPr>
      </w:pPr>
    </w:p>
    <w:p>
      <w:pPr>
        <w:ind w:left="960" w:right="340" w:hanging="534"/>
        <w:spacing w:after="0" w:line="306"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53" w:lineRule="exact"/>
        <w:rPr>
          <w:rFonts w:ascii="Arial" w:cs="Arial" w:eastAsia="Arial" w:hAnsi="Arial"/>
          <w:sz w:val="17"/>
          <w:szCs w:val="17"/>
          <w:color w:val="auto"/>
        </w:rPr>
      </w:pPr>
    </w:p>
    <w:p>
      <w:pPr>
        <w:ind w:left="960" w:hanging="534"/>
        <w:spacing w:after="0" w:line="262"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3"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cash flows for each of the unaudited nine months periods ended September 30, 2020 and 2019:</w:t>
      </w:r>
    </w:p>
    <w:p>
      <w:pPr>
        <w:spacing w:after="0" w:line="25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Nine Months Ended</w:t>
      </w:r>
    </w:p>
    <w:p>
      <w:pPr>
        <w:jc w:val="center"/>
        <w:ind w:left="6520"/>
        <w:spacing w:after="0" w:line="235" w:lineRule="auto"/>
        <w:rPr>
          <w:sz w:val="20"/>
          <w:szCs w:val="20"/>
          <w:color w:val="auto"/>
        </w:rPr>
      </w:pPr>
      <w:r>
        <w:rPr>
          <w:rFonts w:ascii="Arial" w:cs="Arial" w:eastAsia="Arial" w:hAnsi="Arial"/>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41"/>
        </w:trPr>
        <w:tc>
          <w:tcPr>
            <w:tcW w:w="66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1600" w:type="dxa"/>
            <w:vAlign w:val="bottom"/>
            <w:gridSpan w:val="3"/>
          </w:tcPr>
          <w:p>
            <w:pPr>
              <w:jc w:val="right"/>
              <w:ind w:right="394"/>
              <w:spacing w:after="0" w:line="141"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(181,216)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(126,700)</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(220,067)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(4,030)</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592,336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489,330</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191,053</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358,600</w:t>
            </w:r>
          </w:p>
        </w:tc>
        <w:tc>
          <w:tcPr>
            <w:tcW w:w="100" w:type="dxa"/>
            <w:vAlign w:val="bottom"/>
          </w:tcPr>
          <w:p>
            <w:pPr>
              <w:spacing w:after="0"/>
              <w:rPr>
                <w:sz w:val="19"/>
                <w:szCs w:val="19"/>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6" w:lineRule="exact"/>
        <w:rPr>
          <w:sz w:val="20"/>
          <w:szCs w:val="20"/>
          <w:color w:val="auto"/>
        </w:rPr>
      </w:pPr>
    </w:p>
    <w:p>
      <w:pPr>
        <w:ind w:right="180" w:firstLine="439"/>
        <w:spacing w:after="0" w:line="295" w:lineRule="auto"/>
        <w:rPr>
          <w:sz w:val="20"/>
          <w:szCs w:val="20"/>
          <w:color w:val="auto"/>
        </w:rPr>
      </w:pPr>
      <w:r>
        <w:rPr>
          <w:rFonts w:ascii="Arial" w:cs="Arial" w:eastAsia="Arial" w:hAnsi="Arial"/>
          <w:sz w:val="16"/>
          <w:szCs w:val="16"/>
          <w:color w:val="auto"/>
        </w:rPr>
        <w:t>Net cash used in operating activities for the nine months ended September 30, 2020 was €181.2 million compared to €126.7 million for the nine months ended September 30, 2019. The net loss for the nine months ended September 30, 2020 of €280.0 million included non-cash charges of €45.2 million, comprising share-based payment and depreciation, and non-cash net financial expenses and taxes, of €43.2 million. The net change in working capital contributed positively to cash flows by €10.4 million, primarily due to a net increase in trade payables and other payables of €20.7 million, partly offset by an increase in receivables and prepayments of €9.7 million and a decrease in deferred income of €0.6 million.</w:t>
      </w:r>
    </w:p>
    <w:p>
      <w:pPr>
        <w:spacing w:after="0" w:line="161" w:lineRule="exact"/>
        <w:rPr>
          <w:sz w:val="20"/>
          <w:szCs w:val="20"/>
          <w:color w:val="auto"/>
        </w:rPr>
      </w:pPr>
    </w:p>
    <w:p>
      <w:pPr>
        <w:ind w:right="80" w:firstLine="439"/>
        <w:spacing w:after="0" w:line="287" w:lineRule="auto"/>
        <w:rPr>
          <w:sz w:val="20"/>
          <w:szCs w:val="20"/>
          <w:color w:val="auto"/>
        </w:rPr>
      </w:pPr>
      <w:r>
        <w:rPr>
          <w:rFonts w:ascii="Arial" w:cs="Arial" w:eastAsia="Arial" w:hAnsi="Arial"/>
          <w:sz w:val="16"/>
          <w:szCs w:val="16"/>
          <w:color w:val="auto"/>
        </w:rPr>
        <w:t>Net cash used in operating activities for the nine months ended September 30, 2019 was €126.7 million. The net loss for the nine months ended September 30, 2019 of €137.7 million included non-cash charges of €30.9 million, comprising share-based payment and depreciation, and non-cash net income, including net financial income and taxes, of €22.2 million. The net change in working capital contributed positively to cash flows by</w:t>
      </w:r>
    </w:p>
    <w:p>
      <w:pPr>
        <w:ind w:right="720"/>
        <w:spacing w:after="0" w:line="288" w:lineRule="auto"/>
        <w:rPr>
          <w:sz w:val="20"/>
          <w:szCs w:val="20"/>
          <w:color w:val="auto"/>
        </w:rPr>
      </w:pPr>
      <w:r>
        <w:rPr>
          <w:rFonts w:ascii="Arial" w:cs="Arial" w:eastAsia="Arial" w:hAnsi="Arial"/>
          <w:sz w:val="17"/>
          <w:szCs w:val="17"/>
          <w:color w:val="auto"/>
        </w:rPr>
        <w:t>€2.3 million, primarily due to a net increase in trade payables and other payables of €3.7 million, a decrease in receivables and prepayments of €4.4 million, partly offset by a decrease in deferred income of €5.5 million and an increase in deposits of €0.3 million.</w:t>
      </w:r>
    </w:p>
    <w:p>
      <w:pPr>
        <w:sectPr>
          <w:pgSz w:w="11900" w:h="16838" w:orient="portrait"/>
          <w:cols w:equalWidth="0" w:num="1">
            <w:col w:w="10940"/>
          </w:cols>
          <w:pgMar w:left="460" w:top="273"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25400"/>
                    </a:xfrm>
                    <a:prstGeom prst="rect">
                      <a:avLst/>
                    </a:prstGeom>
                    <a:noFill/>
                  </pic:spPr>
                </pic:pic>
              </a:graphicData>
            </a:graphic>
          </wp:anchor>
        </w:drawing>
        <w:t>Cash Flows From / (Used in) Investing Activities</w:t>
      </w:r>
    </w:p>
    <w:p>
      <w:pPr>
        <w:spacing w:after="0" w:line="116"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color w:val="auto"/>
        </w:rPr>
        <w:t>Cash flows used in investing activities for the nine months ended September 30, 2020 of €220.1 million were related to acquisition of marketable securities of €340.4 million and settlement of marketable securities of €132.7 million, to acquisition of property, plant and equipment of €11.7 million, primarily related to our oncology laboratories in the United States and for use in the laboratories of our German facility, and to acquisition of software of €0.7 million.</w:t>
      </w:r>
    </w:p>
    <w:p>
      <w:pPr>
        <w:spacing w:after="0" w:line="186" w:lineRule="exact"/>
        <w:rPr>
          <w:sz w:val="20"/>
          <w:szCs w:val="20"/>
          <w:color w:val="auto"/>
        </w:rPr>
      </w:pPr>
    </w:p>
    <w:p>
      <w:pPr>
        <w:ind w:right="40" w:firstLine="439"/>
        <w:spacing w:after="0" w:line="306" w:lineRule="auto"/>
        <w:rPr>
          <w:sz w:val="20"/>
          <w:szCs w:val="20"/>
          <w:color w:val="auto"/>
        </w:rPr>
      </w:pPr>
      <w:r>
        <w:rPr>
          <w:rFonts w:ascii="Arial" w:cs="Arial" w:eastAsia="Arial" w:hAnsi="Arial"/>
          <w:sz w:val="17"/>
          <w:szCs w:val="17"/>
          <w:color w:val="auto"/>
        </w:rPr>
        <w:t>Cash flows used in investing activities for the nine months ended September 30, 2019 of €4.0 million were related to acquisition of property, plant and equipment, primarily equipment for use in the laboratories of our German facility and in our oncology laboratories in the United States.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6" w:lineRule="exact"/>
        <w:rPr>
          <w:sz w:val="20"/>
          <w:szCs w:val="20"/>
          <w:color w:val="auto"/>
        </w:rPr>
      </w:pPr>
    </w:p>
    <w:p>
      <w:pPr>
        <w:jc w:val="both"/>
        <w:ind w:right="200" w:firstLine="439"/>
        <w:spacing w:after="0" w:line="262" w:lineRule="auto"/>
        <w:rPr>
          <w:sz w:val="20"/>
          <w:szCs w:val="20"/>
          <w:color w:val="auto"/>
        </w:rPr>
      </w:pPr>
      <w:r>
        <w:rPr>
          <w:rFonts w:ascii="Arial" w:cs="Arial" w:eastAsia="Arial" w:hAnsi="Arial"/>
          <w:sz w:val="18"/>
          <w:szCs w:val="18"/>
          <w:color w:val="auto"/>
        </w:rPr>
        <w:t>Cash flows from financing activities for the nine months ended September 30, 2020 of €592.3 million were comprised of €580.5 million in net proceeds from our follow-on public offering of ADSs completed in July 2020 and €15.3 million in net proceeds from warrant exercises in April, May, June, August and September 2020, partly offset by payments on lease liabilities of €3.5 million.</w:t>
      </w:r>
    </w:p>
    <w:p>
      <w:pPr>
        <w:spacing w:after="0" w:line="183"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Cash flows from financing activities for the nine months ended September 30, 2019 of €489.3 million were comprised of €480.3 million in net proceeds from our follow-on public offering of ADSs completed in March 2019 and €12.0 million in net proceeds from warrant exercises in April, June, and September 2019, partly offset by payments on lease liabilities of €3.0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0" w:lineRule="exact"/>
        <w:rPr>
          <w:sz w:val="20"/>
          <w:szCs w:val="20"/>
          <w:color w:val="auto"/>
        </w:rPr>
      </w:pPr>
    </w:p>
    <w:p>
      <w:pPr>
        <w:ind w:right="400" w:firstLine="439"/>
        <w:spacing w:after="0" w:line="275" w:lineRule="auto"/>
        <w:rPr>
          <w:sz w:val="20"/>
          <w:szCs w:val="20"/>
          <w:color w:val="auto"/>
        </w:rPr>
      </w:pPr>
      <w:r>
        <w:rPr>
          <w:rFonts w:ascii="Arial" w:cs="Arial" w:eastAsia="Arial" w:hAnsi="Arial"/>
          <w:sz w:val="18"/>
          <w:szCs w:val="18"/>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6"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the latest being in July 2020, were in U.S. Dollars. We seek to minimize our exchange rate risk by maintaining cash positions in the currencies in which we expect to incur the majority of our future expenses and we make payments from those positions.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6" w:lineRule="exact"/>
        <w:rPr>
          <w:sz w:val="20"/>
          <w:szCs w:val="20"/>
          <w:color w:val="auto"/>
        </w:rPr>
      </w:pPr>
    </w:p>
    <w:p>
      <w:pPr>
        <w:ind w:firstLine="439"/>
        <w:spacing w:after="0" w:line="278" w:lineRule="auto"/>
        <w:rPr>
          <w:sz w:val="20"/>
          <w:szCs w:val="20"/>
          <w:color w:val="auto"/>
        </w:rPr>
      </w:pPr>
      <w:r>
        <w:rPr>
          <w:rFonts w:ascii="Arial" w:cs="Arial" w:eastAsia="Arial" w:hAnsi="Arial"/>
          <w:sz w:val="17"/>
          <w:szCs w:val="17"/>
          <w:color w:val="auto"/>
        </w:rPr>
        <w:t>We have no interest-bearing debt to third parties. In addition, while we have no derivatives or financial assets and liabilities measured at fair value, our exposure to interest rate risk primarily relates to the interest rates for our positions of cash and cash equivalents and marketable securities. Our future interest income from interest-bearing bank deposits and marketable securities may fall short of expectations due to changes in interest rates. We do not consider the effects of interest rate fluctuations to be a material risk to our financial position.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6" w:lineRule="exact"/>
        <w:rPr>
          <w:sz w:val="20"/>
          <w:szCs w:val="20"/>
          <w:color w:val="auto"/>
        </w:rPr>
      </w:pPr>
    </w:p>
    <w:p>
      <w:pPr>
        <w:jc w:val="both"/>
        <w:ind w:right="400" w:firstLine="439"/>
        <w:spacing w:after="0" w:line="285"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and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16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We consider all of our material counterparties to be creditworthy. While the concentration of credit risk may be significant, we consider the credit risk for each of our individual counterparts to be low. Our exposure to credit risk primarily relates to our cash and cash equivalents, and marketable securities. The credit risk on bank deposits is limited because the counterparties, holding significant deposits, are banks with high credit-ratings (minimum A3/A-) assigned by international credit-rating agencies. The banks are reviewed on a regular basis and our deposits may be transferred during the year to mitigate credit risk.</w:t>
      </w:r>
    </w:p>
    <w:p>
      <w:pPr>
        <w:sectPr>
          <w:pgSz w:w="11900" w:h="16838" w:orient="portrait"/>
          <w:cols w:equalWidth="0" w:num="1">
            <w:col w:w="10960"/>
          </w:cols>
          <w:pgMar w:left="460" w:top="273" w:right="479" w:bottom="1440" w:gutter="0" w:footer="0" w:header="0"/>
        </w:sectPr>
      </w:pPr>
    </w:p>
    <w:bookmarkStart w:id="27" w:name="page28"/>
    <w:bookmarkEnd w:id="27"/>
    <w:p>
      <w:pPr>
        <w:jc w:val="both"/>
        <w:ind w:right="100" w:firstLine="439"/>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25400"/>
                    </a:xfrm>
                    <a:prstGeom prst="rect">
                      <a:avLst/>
                    </a:prstGeom>
                    <a:noFill/>
                  </pic:spPr>
                </pic:pic>
              </a:graphicData>
            </a:graphic>
          </wp:anchor>
        </w:drawing>
        <w:t>We have considered the risk of expected credit loss on our cash deposits, including the hypothetical impact arising from the probability of default considering in conjunction with the expected loss given default from banks with similar credit ratings and attributes. In line with previous periods, our assessment did not reveal a material impairment loss, and accordingly no provision for expected credit loss has been recognized.</w:t>
      </w:r>
    </w:p>
    <w:p>
      <w:pPr>
        <w:spacing w:after="0" w:line="165" w:lineRule="exact"/>
        <w:rPr>
          <w:sz w:val="20"/>
          <w:szCs w:val="20"/>
          <w:color w:val="auto"/>
        </w:rPr>
      </w:pPr>
    </w:p>
    <w:p>
      <w:pPr>
        <w:jc w:val="both"/>
        <w:ind w:firstLine="439"/>
        <w:spacing w:after="0" w:line="285" w:lineRule="auto"/>
        <w:rPr>
          <w:sz w:val="20"/>
          <w:szCs w:val="20"/>
          <w:color w:val="auto"/>
        </w:rPr>
      </w:pPr>
      <w:r>
        <w:rPr>
          <w:rFonts w:ascii="Arial" w:cs="Arial" w:eastAsia="Arial" w:hAnsi="Arial"/>
          <w:sz w:val="17"/>
          <w:szCs w:val="17"/>
          <w:color w:val="auto"/>
        </w:rPr>
        <w:t>Since March 2020, in order to mitigate concentration of credit risks, we have placed a portion of our bank deposits into primarily U.S. government bonds, treasury bills, corporate bonds, and commercial papers. Our investment policy only allows investment in marketable securities having investment grade credit-ratings, assigned by international credit-rating agencies and accordingly, the risk from probability of default is low.</w:t>
      </w:r>
    </w:p>
    <w:p>
      <w:pPr>
        <w:spacing w:after="0" w:line="165" w:lineRule="exact"/>
        <w:rPr>
          <w:sz w:val="20"/>
          <w:szCs w:val="20"/>
          <w:color w:val="auto"/>
        </w:rPr>
      </w:pPr>
    </w:p>
    <w:p>
      <w:pPr>
        <w:jc w:val="both"/>
        <w:ind w:right="140" w:firstLine="439"/>
        <w:spacing w:after="0" w:line="285" w:lineRule="auto"/>
        <w:rPr>
          <w:sz w:val="20"/>
          <w:szCs w:val="20"/>
          <w:color w:val="auto"/>
        </w:rPr>
      </w:pPr>
      <w:r>
        <w:rPr>
          <w:rFonts w:ascii="Arial" w:cs="Arial" w:eastAsia="Arial" w:hAnsi="Arial"/>
          <w:sz w:val="17"/>
          <w:szCs w:val="17"/>
          <w:color w:val="auto"/>
        </w:rPr>
        <w:t>The risk of expected credit loss over marketable securities has been considered, including the hypothetical impact arising from the probability of default considering in conjunction with the expected loss given default from securities with similar credit rating and attributes. This assessment did not reveal a material expected credit loss, and accordingly no provision for expected credit loss has been recognized.</w:t>
      </w:r>
    </w:p>
    <w:p>
      <w:pPr>
        <w:spacing w:after="0" w:line="165" w:lineRule="exact"/>
        <w:rPr>
          <w:sz w:val="20"/>
          <w:szCs w:val="20"/>
          <w:color w:val="auto"/>
        </w:rPr>
      </w:pPr>
    </w:p>
    <w:p>
      <w:pPr>
        <w:ind w:right="520" w:firstLine="439"/>
        <w:spacing w:after="0" w:line="275" w:lineRule="auto"/>
        <w:rPr>
          <w:sz w:val="20"/>
          <w:szCs w:val="20"/>
          <w:color w:val="auto"/>
        </w:rPr>
      </w:pPr>
      <w:r>
        <w:rPr>
          <w:rFonts w:ascii="Arial" w:cs="Arial" w:eastAsia="Arial" w:hAnsi="Arial"/>
          <w:sz w:val="18"/>
          <w:szCs w:val="18"/>
          <w:color w:val="auto"/>
        </w:rPr>
        <w:t>For other assets, including deposits and receivables, we consider the credit risk to be low and no provision for expected credit loss has been recognized.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Historically we have addressed the risk of insufficient funds through proceeds from sale of our securities in private and public offerings.</w:t>
      </w:r>
    </w:p>
    <w:p>
      <w:pPr>
        <w:spacing w:after="0" w:line="235" w:lineRule="exact"/>
        <w:rPr>
          <w:sz w:val="20"/>
          <w:szCs w:val="20"/>
          <w:color w:val="auto"/>
        </w:rPr>
      </w:pPr>
    </w:p>
    <w:p>
      <w:pPr>
        <w:ind w:right="200" w:firstLine="439"/>
        <w:spacing w:after="0" w:line="262"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We monitor the risk of a shortage of funds using a liquidity planning tool, to ensure sufficient funds available to settle liabilities as they fall due.</w:t>
      </w:r>
    </w:p>
    <w:p>
      <w:pPr>
        <w:spacing w:after="0" w:line="183" w:lineRule="exact"/>
        <w:rPr>
          <w:sz w:val="20"/>
          <w:szCs w:val="20"/>
          <w:color w:val="auto"/>
        </w:rPr>
      </w:pPr>
    </w:p>
    <w:p>
      <w:pPr>
        <w:ind w:right="300" w:firstLine="439"/>
        <w:spacing w:after="0" w:line="262" w:lineRule="auto"/>
        <w:rPr>
          <w:sz w:val="20"/>
          <w:szCs w:val="20"/>
          <w:color w:val="auto"/>
        </w:rPr>
      </w:pPr>
      <w:r>
        <w:rPr>
          <w:rFonts w:ascii="Arial" w:cs="Arial" w:eastAsia="Arial" w:hAnsi="Arial"/>
          <w:sz w:val="18"/>
          <w:szCs w:val="18"/>
          <w:color w:val="auto"/>
        </w:rPr>
        <w:t>Marketable securities are all denominated in U.S. Dollars and have a weighted average duration of 3.0 and 20.2 months, for current (i.e., those maturing within 12 months at the reporting date) and non-current positions, respectively. The entire portfolio of marketable securities (current and non-current) has a weighted average duration of 5.5 months.</w:t>
      </w:r>
    </w:p>
    <w:p>
      <w:pPr>
        <w:sectPr>
          <w:pgSz w:w="11900" w:h="16838" w:orient="portrait"/>
          <w:cols w:equalWidth="0" w:num="1">
            <w:col w:w="10960"/>
          </w:cols>
          <w:pgMar w:left="460" w:top="273" w:right="4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170815</wp:posOffset>
            </wp:positionV>
            <wp:extent cx="1469390" cy="495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9390"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Third Quarter 2020 Financial Results</w:t>
      </w:r>
    </w:p>
    <w:p>
      <w:pPr>
        <w:spacing w:after="0" w:line="227" w:lineRule="exact"/>
        <w:rPr>
          <w:sz w:val="20"/>
          <w:szCs w:val="20"/>
          <w:color w:val="auto"/>
        </w:rPr>
      </w:pPr>
    </w:p>
    <w:p>
      <w:pPr>
        <w:jc w:val="center"/>
        <w:ind w:left="2040" w:right="1900" w:hanging="143"/>
        <w:spacing w:after="0" w:line="340" w:lineRule="auto"/>
        <w:rPr>
          <w:sz w:val="20"/>
          <w:szCs w:val="20"/>
          <w:color w:val="auto"/>
        </w:rPr>
      </w:pPr>
      <w:r>
        <w:rPr>
          <w:rFonts w:ascii="Arial" w:cs="Arial" w:eastAsia="Arial" w:hAnsi="Arial"/>
          <w:sz w:val="16"/>
          <w:szCs w:val="16"/>
          <w:b w:val="1"/>
          <w:bCs w:val="1"/>
          <w:i w:val="1"/>
          <w:iCs w:val="1"/>
          <w:color w:val="auto"/>
        </w:rPr>
        <w:t>– European Medicines Agency (EMA) validated the Marketing Authorisation Application (MAA) for TransCon</w:t>
      </w:r>
      <w:r>
        <w:rPr>
          <w:rFonts w:ascii="Arial" w:cs="Arial" w:eastAsia="Arial" w:hAnsi="Arial"/>
          <w:sz w:val="13"/>
          <w:szCs w:val="13"/>
          <w:b w:val="1"/>
          <w:bCs w:val="1"/>
          <w:i w:val="1"/>
          <w:iCs w:val="1"/>
          <w:color w:val="auto"/>
        </w:rPr>
        <w:t>TM</w:t>
      </w:r>
      <w:r>
        <w:rPr>
          <w:rFonts w:ascii="Arial" w:cs="Arial" w:eastAsia="Arial" w:hAnsi="Arial"/>
          <w:sz w:val="16"/>
          <w:szCs w:val="16"/>
          <w:b w:val="1"/>
          <w:bCs w:val="1"/>
          <w:i w:val="1"/>
          <w:iCs w:val="1"/>
          <w:color w:val="auto"/>
        </w:rPr>
        <w:t xml:space="preserve"> hGH (lonapegsomatropin) in pediatric growth hormone deficiency (GHD) –</w:t>
      </w:r>
    </w:p>
    <w:p>
      <w:pPr>
        <w:spacing w:after="0" w:line="124" w:lineRule="exact"/>
        <w:rPr>
          <w:sz w:val="20"/>
          <w:szCs w:val="20"/>
          <w:color w:val="auto"/>
        </w:rPr>
      </w:pPr>
    </w:p>
    <w:p>
      <w:pPr>
        <w:ind w:left="2000"/>
        <w:spacing w:after="0"/>
        <w:rPr>
          <w:sz w:val="20"/>
          <w:szCs w:val="20"/>
          <w:color w:val="auto"/>
        </w:rPr>
      </w:pPr>
      <w:r>
        <w:rPr>
          <w:rFonts w:ascii="Arial" w:cs="Arial" w:eastAsia="Arial" w:hAnsi="Arial"/>
          <w:sz w:val="18"/>
          <w:szCs w:val="18"/>
          <w:b w:val="1"/>
          <w:bCs w:val="1"/>
          <w:i w:val="1"/>
          <w:iCs w:val="1"/>
          <w:color w:val="auto"/>
        </w:rPr>
        <w:t>– Submitted regulatory filings to enable initiation of European and Canadian sites for phase 3</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18"/>
          <w:szCs w:val="18"/>
          <w:b w:val="1"/>
          <w:bCs w:val="1"/>
          <w:i w:val="1"/>
          <w:iCs w:val="1"/>
          <w:color w:val="auto"/>
        </w:rPr>
        <w:t>PaTHway Trial for TransCon PTH –</w:t>
      </w:r>
    </w:p>
    <w:p>
      <w:pPr>
        <w:spacing w:after="0" w:line="208" w:lineRule="exact"/>
        <w:rPr>
          <w:sz w:val="20"/>
          <w:szCs w:val="20"/>
          <w:color w:val="auto"/>
        </w:rPr>
      </w:pPr>
    </w:p>
    <w:p>
      <w:pPr>
        <w:jc w:val="center"/>
        <w:ind w:left="2280" w:right="2300" w:firstLine="108"/>
        <w:spacing w:after="0" w:line="340" w:lineRule="auto"/>
        <w:rPr>
          <w:sz w:val="20"/>
          <w:szCs w:val="20"/>
          <w:color w:val="auto"/>
        </w:rPr>
      </w:pPr>
      <w:r>
        <w:rPr>
          <w:rFonts w:ascii="Arial" w:cs="Arial" w:eastAsia="Arial" w:hAnsi="Arial"/>
          <w:sz w:val="16"/>
          <w:szCs w:val="16"/>
          <w:b w:val="1"/>
          <w:bCs w:val="1"/>
          <w:i w:val="1"/>
          <w:iCs w:val="1"/>
          <w:color w:val="auto"/>
        </w:rPr>
        <w:t>– In collaboration with VISEN Pharmaceuticals, filed an Investigational New Drug Application (IND) to initiate the phase 2 ACcomplisH China Trial of TransCon CNP –</w:t>
      </w:r>
    </w:p>
    <w:p>
      <w:pPr>
        <w:spacing w:after="0" w:line="124"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 On track for remaining 2020 corporate milestone of filing an IND or similar for TransCon</w:t>
      </w:r>
    </w:p>
    <w:p>
      <w:pPr>
        <w:spacing w:after="0" w:line="22" w:lineRule="exact"/>
        <w:rPr>
          <w:sz w:val="20"/>
          <w:szCs w:val="20"/>
          <w:color w:val="auto"/>
        </w:rPr>
      </w:pPr>
    </w:p>
    <w:p>
      <w:pPr>
        <w:ind w:left="4380"/>
        <w:spacing w:after="0"/>
        <w:rPr>
          <w:sz w:val="20"/>
          <w:szCs w:val="20"/>
          <w:color w:val="auto"/>
        </w:rPr>
      </w:pPr>
      <w:r>
        <w:rPr>
          <w:rFonts w:ascii="Arial" w:cs="Arial" w:eastAsia="Arial" w:hAnsi="Arial"/>
          <w:sz w:val="18"/>
          <w:szCs w:val="18"/>
          <w:b w:val="1"/>
          <w:bCs w:val="1"/>
          <w:i w:val="1"/>
          <w:iCs w:val="1"/>
          <w:color w:val="auto"/>
        </w:rPr>
        <w:t>TLR7/8 Agonist by year-end –</w:t>
      </w:r>
    </w:p>
    <w:p>
      <w:pPr>
        <w:spacing w:after="0" w:line="208" w:lineRule="exact"/>
        <w:rPr>
          <w:sz w:val="20"/>
          <w:szCs w:val="20"/>
          <w:color w:val="auto"/>
        </w:rPr>
      </w:pPr>
    </w:p>
    <w:p>
      <w:pPr>
        <w:ind w:left="3560"/>
        <w:spacing w:after="0"/>
        <w:rPr>
          <w:sz w:val="20"/>
          <w:szCs w:val="20"/>
          <w:color w:val="auto"/>
        </w:rPr>
      </w:pPr>
      <w:r>
        <w:rPr>
          <w:rFonts w:ascii="Arial" w:cs="Arial" w:eastAsia="Arial" w:hAnsi="Arial"/>
          <w:sz w:val="18"/>
          <w:szCs w:val="18"/>
          <w:b w:val="1"/>
          <w:bCs w:val="1"/>
          <w:i w:val="1"/>
          <w:iCs w:val="1"/>
          <w:color w:val="auto"/>
        </w:rPr>
        <w:t>– Conference call today at 4:30 p.m. Eastern Time –</w:t>
      </w:r>
    </w:p>
    <w:p>
      <w:pPr>
        <w:spacing w:after="0" w:line="219"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color w:val="auto"/>
        </w:rPr>
        <w:t xml:space="preserve">COPENHAGEN, Denmark, November 11, 2020 (GLOBE NEWSWIRE) </w:t>
      </w:r>
      <w:r>
        <w:rPr>
          <w:rFonts w:ascii="Arial" w:cs="Arial" w:eastAsia="Arial" w:hAnsi="Arial"/>
          <w:sz w:val="18"/>
          <w:szCs w:val="18"/>
          <w:color w:val="auto"/>
        </w:rPr>
        <w:t>– Ascendis Pharma A/S (Nasdaq: ASND), a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that utilizes its innovative TransCon</w:t>
      </w:r>
      <w:r>
        <w:rPr>
          <w:rFonts w:ascii="Arial" w:cs="Arial" w:eastAsia="Arial" w:hAnsi="Arial"/>
          <w:sz w:val="15"/>
          <w:szCs w:val="15"/>
          <w:color w:val="auto"/>
        </w:rPr>
        <w:t>™</w:t>
      </w:r>
      <w:r>
        <w:rPr>
          <w:rFonts w:ascii="Arial" w:cs="Arial" w:eastAsia="Arial" w:hAnsi="Arial"/>
          <w:sz w:val="18"/>
          <w:szCs w:val="18"/>
          <w:color w:val="auto"/>
        </w:rPr>
        <w:t xml:space="preserve"> technologies to create product candidates that address unmet medical needs, today announced financial results for the quarter ended September 30, 2020.</w:t>
      </w:r>
    </w:p>
    <w:p>
      <w:pPr>
        <w:spacing w:after="0" w:line="17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Ascendis progresses toward closing out 2020, I am proud that we are on track or ahead of schedule for all 2020 corporate goals and to achieve Vision 3x3, moving us one step closer to becoming a fully integrated, global biopharmaceutical company,” said Jan Mikkelsen, President and CEO. “As a company, we are driven by our core values to achieve our long-term strategic Vision 3x3, using the power of the TransCon technology. We push ourselves to continually deliver not only in endocrinology but also in oncology and to bring these products to patients as efficiently and safely as possible.”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 &amp; Progress</w:t>
      </w:r>
    </w:p>
    <w:p>
      <w:pPr>
        <w:spacing w:after="0" w:line="133" w:lineRule="exact"/>
        <w:rPr>
          <w:sz w:val="20"/>
          <w:szCs w:val="20"/>
          <w:color w:val="auto"/>
        </w:rPr>
      </w:pPr>
    </w:p>
    <w:p>
      <w:pPr>
        <w:ind w:left="960" w:hanging="42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TransCon hGH (lonapegsomatropin)</w:t>
      </w:r>
    </w:p>
    <w:p>
      <w:pPr>
        <w:spacing w:after="0" w:line="129" w:lineRule="exact"/>
        <w:rPr>
          <w:rFonts w:ascii="Arial" w:cs="Arial" w:eastAsia="Arial" w:hAnsi="Arial"/>
          <w:sz w:val="18"/>
          <w:szCs w:val="18"/>
          <w:color w:val="auto"/>
        </w:rPr>
      </w:pPr>
    </w:p>
    <w:p>
      <w:pPr>
        <w:ind w:left="1400" w:hanging="315"/>
        <w:spacing w:after="0"/>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Submitted MAA to the EMA, which has now validated the application.</w:t>
      </w:r>
    </w:p>
    <w:p>
      <w:pPr>
        <w:spacing w:after="0" w:line="129" w:lineRule="exact"/>
        <w:rPr>
          <w:rFonts w:ascii="Arial" w:cs="Arial" w:eastAsia="Arial" w:hAnsi="Arial"/>
          <w:sz w:val="18"/>
          <w:szCs w:val="18"/>
          <w:color w:val="auto"/>
        </w:rPr>
      </w:pPr>
    </w:p>
    <w:p>
      <w:pPr>
        <w:ind w:left="1400" w:right="120" w:hanging="315"/>
        <w:spacing w:after="0" w:line="275" w:lineRule="auto"/>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a Clinical Trial Notification with the Pharmaceuticals and Medical Devices Agency in Japan to initiate the company’s phase 3 riGHt Trial of lonapegsomatropin for the treatment of pediatric GHD.</w:t>
      </w:r>
    </w:p>
    <w:p>
      <w:pPr>
        <w:spacing w:after="0" w:line="77" w:lineRule="exact"/>
        <w:rPr>
          <w:rFonts w:ascii="Arial" w:cs="Arial" w:eastAsia="Arial" w:hAnsi="Arial"/>
          <w:sz w:val="18"/>
          <w:szCs w:val="18"/>
          <w:color w:val="auto"/>
        </w:rPr>
      </w:pPr>
    </w:p>
    <w:p>
      <w:pPr>
        <w:ind w:left="1400" w:right="60" w:hanging="315"/>
        <w:spacing w:after="0" w:line="275" w:lineRule="auto"/>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Announced the U.S. Food and Drug Administration (FDA) accepted the company’s Biologics License Application and set a PDUFA date for June 25, 2021.</w:t>
      </w:r>
    </w:p>
    <w:p>
      <w:pPr>
        <w:spacing w:after="0" w:line="77" w:lineRule="exact"/>
        <w:rPr>
          <w:rFonts w:ascii="Arial" w:cs="Arial" w:eastAsia="Arial" w:hAnsi="Arial"/>
          <w:sz w:val="18"/>
          <w:szCs w:val="18"/>
          <w:color w:val="auto"/>
        </w:rPr>
      </w:pPr>
    </w:p>
    <w:p>
      <w:pPr>
        <w:ind w:left="960" w:hanging="42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TransCon PTH</w:t>
      </w:r>
    </w:p>
    <w:p>
      <w:pPr>
        <w:spacing w:after="0" w:line="129" w:lineRule="exact"/>
        <w:rPr>
          <w:rFonts w:ascii="Arial" w:cs="Arial" w:eastAsia="Arial" w:hAnsi="Arial"/>
          <w:sz w:val="18"/>
          <w:szCs w:val="18"/>
          <w:color w:val="auto"/>
        </w:rPr>
      </w:pPr>
    </w:p>
    <w:p>
      <w:pPr>
        <w:ind w:left="1400" w:hanging="315"/>
        <w:spacing w:after="0"/>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Submitted regulatory filings to enable initiation of European and Canadian sites for phase 3 PaTHway Trial.</w:t>
      </w:r>
    </w:p>
    <w:p>
      <w:pPr>
        <w:spacing w:after="0" w:line="129" w:lineRule="exact"/>
        <w:rPr>
          <w:rFonts w:ascii="Arial" w:cs="Arial" w:eastAsia="Arial" w:hAnsi="Arial"/>
          <w:sz w:val="18"/>
          <w:szCs w:val="18"/>
          <w:color w:val="auto"/>
        </w:rPr>
      </w:pPr>
    </w:p>
    <w:p>
      <w:pPr>
        <w:ind w:left="1400" w:hanging="315"/>
        <w:spacing w:after="0"/>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Received orphan designation by the European Commission (EC) for the treatment of hypoparathyroidism (HP).</w:t>
      </w:r>
    </w:p>
    <w:p>
      <w:pPr>
        <w:spacing w:after="0" w:line="129" w:lineRule="exact"/>
        <w:rPr>
          <w:rFonts w:ascii="Arial" w:cs="Arial" w:eastAsia="Arial" w:hAnsi="Arial"/>
          <w:sz w:val="18"/>
          <w:szCs w:val="18"/>
          <w:color w:val="auto"/>
        </w:rPr>
      </w:pPr>
    </w:p>
    <w:p>
      <w:pPr>
        <w:ind w:left="1400" w:right="120" w:hanging="315"/>
        <w:spacing w:after="0" w:line="275" w:lineRule="auto"/>
        <w:tabs>
          <w:tab w:leader="none" w:pos="1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Submitted an amendment to its IND with FDA for the PaTHway phase 3 clinical trial evaluating the safety, tolerability and efficacy of TransCon PTH in adults with HP.</w:t>
      </w:r>
    </w:p>
    <w:p>
      <w:pPr>
        <w:spacing w:after="0" w:line="77" w:lineRule="exact"/>
        <w:rPr>
          <w:rFonts w:ascii="Arial" w:cs="Arial" w:eastAsia="Arial" w:hAnsi="Arial"/>
          <w:sz w:val="18"/>
          <w:szCs w:val="18"/>
          <w:color w:val="auto"/>
        </w:rPr>
      </w:pPr>
    </w:p>
    <w:p>
      <w:pPr>
        <w:ind w:left="1400" w:right="140" w:hanging="315"/>
        <w:spacing w:after="0" w:line="285" w:lineRule="auto"/>
        <w:tabs>
          <w:tab w:leader="none" w:pos="14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Announced preliminary six-month results from the open-label extension portion of PaTH Forward, a global phase 2 trial evaluating the safety, tolerability and efficacy of TransCon PTH in adult subjects with HP. The preliminary results support potential use of TransCon PTH as a hormone replacement therapy for HP and demonstrated normalization of quality of life.</w:t>
      </w:r>
    </w:p>
    <w:p>
      <w:pPr>
        <w:sectPr>
          <w:pgSz w:w="11900" w:h="16838" w:orient="portrait"/>
          <w:cols w:equalWidth="0" w:num="1">
            <w:col w:w="10980"/>
          </w:cols>
          <w:pgMar w:left="460" w:top="121" w:right="459" w:bottom="1440" w:gutter="0" w:footer="0" w:header="0"/>
        </w:sectPr>
      </w:pPr>
    </w:p>
    <w:bookmarkStart w:id="29" w:name="page30"/>
    <w:bookmarkEnd w:id="29"/>
    <w:p>
      <w:pPr>
        <w:ind w:left="960" w:hanging="42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25400"/>
                    </a:xfrm>
                    <a:prstGeom prst="rect">
                      <a:avLst/>
                    </a:prstGeom>
                    <a:noFill/>
                  </pic:spPr>
                </pic:pic>
              </a:graphicData>
            </a:graphic>
          </wp:anchor>
        </w:drawing>
        <w:t>TransCon CNP</w:t>
      </w:r>
    </w:p>
    <w:p>
      <w:pPr>
        <w:spacing w:after="0" w:line="129" w:lineRule="exact"/>
        <w:rPr>
          <w:rFonts w:ascii="Arial" w:cs="Arial" w:eastAsia="Arial" w:hAnsi="Arial"/>
          <w:sz w:val="18"/>
          <w:szCs w:val="18"/>
          <w:color w:val="auto"/>
        </w:rPr>
      </w:pPr>
    </w:p>
    <w:p>
      <w:pPr>
        <w:ind w:left="1400" w:hanging="315"/>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collaboration with VISEN Pharmaceuticals, filed an IND application to initiate the phase 2 ACcomplisH China Trial.</w:t>
      </w:r>
    </w:p>
    <w:p>
      <w:pPr>
        <w:spacing w:after="0" w:line="129" w:lineRule="exact"/>
        <w:rPr>
          <w:rFonts w:ascii="Arial" w:cs="Arial" w:eastAsia="Arial" w:hAnsi="Arial"/>
          <w:sz w:val="18"/>
          <w:szCs w:val="18"/>
          <w:color w:val="auto"/>
        </w:rPr>
      </w:pPr>
    </w:p>
    <w:p>
      <w:pPr>
        <w:ind w:left="1400" w:hanging="315"/>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Received orphan designation by the EC.</w:t>
      </w:r>
    </w:p>
    <w:p>
      <w:pPr>
        <w:spacing w:after="0" w:line="129" w:lineRule="exact"/>
        <w:rPr>
          <w:rFonts w:ascii="Arial" w:cs="Arial" w:eastAsia="Arial" w:hAnsi="Arial"/>
          <w:sz w:val="18"/>
          <w:szCs w:val="18"/>
          <w:color w:val="auto"/>
        </w:rPr>
      </w:pPr>
    </w:p>
    <w:p>
      <w:pPr>
        <w:ind w:left="960" w:hanging="42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Oncology</w:t>
      </w:r>
    </w:p>
    <w:p>
      <w:pPr>
        <w:spacing w:after="0" w:line="129" w:lineRule="exact"/>
        <w:rPr>
          <w:rFonts w:ascii="Arial" w:cs="Arial" w:eastAsia="Arial" w:hAnsi="Arial"/>
          <w:sz w:val="18"/>
          <w:szCs w:val="18"/>
          <w:color w:val="auto"/>
        </w:rPr>
      </w:pPr>
    </w:p>
    <w:p>
      <w:pPr>
        <w:ind w:left="1400" w:right="80" w:hanging="315"/>
        <w:spacing w:after="0" w:line="262" w:lineRule="auto"/>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 track for filing IND or similar for TransCon TLR7/8 Agonist by year-end. TransCon TLR7/8 Agonist is a long-acting prodrug of resiquimod. Administered as an intratumoral injection, TransCon TLR7/8 Agonist is designed to provide sustained release of unmodified resiquimod directly to the tumor.</w:t>
      </w:r>
    </w:p>
    <w:p>
      <w:pPr>
        <w:spacing w:after="0" w:line="88" w:lineRule="exact"/>
        <w:rPr>
          <w:rFonts w:ascii="Arial" w:cs="Arial" w:eastAsia="Arial" w:hAnsi="Arial"/>
          <w:sz w:val="18"/>
          <w:szCs w:val="18"/>
          <w:color w:val="auto"/>
        </w:rPr>
      </w:pPr>
    </w:p>
    <w:p>
      <w:pPr>
        <w:ind w:left="960" w:right="280" w:hanging="426"/>
        <w:spacing w:after="0" w:line="27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Announced Mark A. Bach, M.D., Ph.D., as Senior Vice President of Clinical Development and Medical Affairs for Endocrinology Rare Diseases. Dr. Bach has 30 years of experience in clinical research and development.</w:t>
      </w:r>
    </w:p>
    <w:p>
      <w:pPr>
        <w:spacing w:after="0" w:line="77" w:lineRule="exact"/>
        <w:rPr>
          <w:rFonts w:ascii="Arial" w:cs="Arial" w:eastAsia="Arial" w:hAnsi="Arial"/>
          <w:sz w:val="18"/>
          <w:szCs w:val="18"/>
          <w:color w:val="auto"/>
        </w:rPr>
      </w:pPr>
    </w:p>
    <w:p>
      <w:pPr>
        <w:ind w:left="960" w:hanging="42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Ended the third quarter 2020 with cash, cash equivalents and marketable securities totaling €957.5 million.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Financial Results</w:t>
      </w:r>
    </w:p>
    <w:p>
      <w:pPr>
        <w:spacing w:after="0" w:line="120"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color w:val="auto"/>
        </w:rPr>
        <w:t>For the third quarter, Ascendis Pharma reported a net loss of €121.7 million, or €2.31 per share (basic and diluted) compared to a net loss of €25.1 million, or €0.53 per share (basic and diluted) for the same period in 2019.</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Revenue for the third quarter was €2.8 million compared to €2.2 million in the same quarter of 2019. The increase was due to a higher sale of clinical supply and services to VISEN, partly offset by a lower amount of license revenue being recognized.</w:t>
      </w:r>
    </w:p>
    <w:p>
      <w:pPr>
        <w:spacing w:after="0" w:line="17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Research and development (R&amp;D) costs for the third quarter were €64.1 million compared to €46.3 million during the same period in 2019. Higher R&amp;D costs in 2020 reflect an increase in personnel-related costs, expansion of R&amp;D facilities and the continued progress in development of the company’s product candidates.</w:t>
      </w:r>
    </w:p>
    <w:p>
      <w:pPr>
        <w:spacing w:after="0" w:line="18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Selling, general and administrative (SG&amp;A) expenses for the third quarter were €17.5 million compared to €10.0 million during the same period in 2019. The increase is primarily due to additional personnel-related costs, higher IT and other infrastructure costs and continued build of the company’s commercial capabilities.</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As of September 30, 2020, Ascendis Pharma had cash, cash equivalents and marketable securities totaling €957.5 million compared to €471.6 million as of June 30, 2020. As of September 30, 2020, Ascendis Pharma had 53,416,091 ordinary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Ascendis Pharma will host a conference call and webcast today at 4:30 p.m. Eastern Time (ET) to discuss its third quarter 2020 financial results. Details include: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Date</w:t>
            </w: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11, 2020</w:t>
            </w:r>
          </w:p>
        </w:tc>
      </w:tr>
      <w:tr>
        <w:trPr>
          <w:trHeight w:val="215"/>
        </w:trPr>
        <w:tc>
          <w:tcPr>
            <w:tcW w:w="190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080" w:type="dxa"/>
            <w:vAlign w:val="bottom"/>
          </w:tcPr>
          <w:p>
            <w:pPr>
              <w:ind w:left="200"/>
              <w:spacing w:after="0"/>
              <w:rPr>
                <w:sz w:val="20"/>
                <w:szCs w:val="20"/>
                <w:color w:val="auto"/>
              </w:rPr>
            </w:pPr>
            <w:r>
              <w:rPr>
                <w:rFonts w:ascii="Arial" w:cs="Arial" w:eastAsia="Arial" w:hAnsi="Arial"/>
                <w:sz w:val="18"/>
                <w:szCs w:val="18"/>
                <w:color w:val="auto"/>
              </w:rPr>
              <w:t>4:30 p.m. ET</w:t>
            </w:r>
          </w:p>
        </w:tc>
      </w:t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Dial In (U.S.)</w:t>
            </w: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844-290-3904</w:t>
            </w:r>
          </w:p>
        </w:tc>
      </w:tr>
      <w:tr>
        <w:trPr>
          <w:trHeight w:val="215"/>
        </w:trPr>
        <w:tc>
          <w:tcPr>
            <w:tcW w:w="190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9080" w:type="dxa"/>
            <w:vAlign w:val="bottom"/>
          </w:tcPr>
          <w:p>
            <w:pPr>
              <w:ind w:left="200"/>
              <w:spacing w:after="0"/>
              <w:rPr>
                <w:sz w:val="20"/>
                <w:szCs w:val="20"/>
                <w:color w:val="auto"/>
              </w:rPr>
            </w:pPr>
            <w:r>
              <w:rPr>
                <w:rFonts w:ascii="Arial" w:cs="Arial" w:eastAsia="Arial" w:hAnsi="Arial"/>
                <w:sz w:val="18"/>
                <w:szCs w:val="18"/>
                <w:color w:val="auto"/>
              </w:rPr>
              <w:t>574-990-1036</w:t>
            </w:r>
          </w:p>
        </w:tc>
      </w:tr>
      <w:tr>
        <w:trPr>
          <w:trHeight w:val="215"/>
        </w:trPr>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Access Code</w:t>
            </w: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8955314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3" w:right="4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25400"/>
                    </a:xfrm>
                    <a:prstGeom prst="rect">
                      <a:avLst/>
                    </a:prstGeom>
                    <a:noFill/>
                  </pic:spPr>
                </pic:pic>
              </a:graphicData>
            </a:graphic>
          </wp:anchor>
        </w:drawing>
        <w:t xml:space="preserve">A live webcast of the conference call will be available on the Investors and News section of the Ascendis Pharma website at </w:t>
      </w:r>
      <w:r>
        <w:rPr>
          <w:rFonts w:ascii="Arial" w:cs="Arial" w:eastAsia="Arial" w:hAnsi="Arial"/>
          <w:sz w:val="16"/>
          <w:szCs w:val="16"/>
          <w:u w:val="single" w:color="auto"/>
          <w:color w:val="auto"/>
        </w:rPr>
        <w:t>www.ascendispharma.com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will also be available on this website shortly after conclusion of the event for 30 days.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Pharma’s Pipeline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currently has three product candidates in clinical development in rare endocrine diseases:</w:t>
      </w:r>
    </w:p>
    <w:p>
      <w:pPr>
        <w:spacing w:after="0" w:line="250" w:lineRule="exact"/>
        <w:rPr>
          <w:sz w:val="20"/>
          <w:szCs w:val="20"/>
          <w:color w:val="auto"/>
        </w:rPr>
      </w:pPr>
    </w:p>
    <w:p>
      <w:pPr>
        <w:ind w:left="960" w:hanging="426"/>
        <w:spacing w:after="0" w:line="310"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TransCon hGH (lonapegsomatropin), an investigational long-acting prodrug of somatropin (human growth hormone or hGH) that releases somatropin with the identical amino acid sequence and size as daily growth hormone, is designed as a once-weekly treatment for GHD and is currently under regulatory review by the U.S. Food and Drug Administration and the European Medicines Agency.</w:t>
      </w:r>
    </w:p>
    <w:p>
      <w:pPr>
        <w:spacing w:after="0" w:line="174" w:lineRule="exact"/>
        <w:rPr>
          <w:rFonts w:ascii="Arial" w:cs="Arial" w:eastAsia="Arial" w:hAnsi="Arial"/>
          <w:sz w:val="16"/>
          <w:szCs w:val="16"/>
          <w:color w:val="auto"/>
        </w:rPr>
      </w:pPr>
    </w:p>
    <w:p>
      <w:pPr>
        <w:ind w:left="960" w:right="20" w:hanging="426"/>
        <w:spacing w:after="0" w:line="26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TransCon PTH, an investigational long-acting prodrug of parathyroid hormone (PTH) in phase 3 development as a once-daily replacement therapy for hypoparathyroidism (HP) designed to replace PTH at physiologic levels for 24 hours every day, and address both short-term symptoms and long-term complications of the disease.</w:t>
      </w:r>
    </w:p>
    <w:p>
      <w:pPr>
        <w:spacing w:after="0" w:line="209" w:lineRule="exact"/>
        <w:rPr>
          <w:rFonts w:ascii="Arial" w:cs="Arial" w:eastAsia="Arial" w:hAnsi="Arial"/>
          <w:sz w:val="18"/>
          <w:szCs w:val="18"/>
          <w:color w:val="auto"/>
        </w:rPr>
      </w:pPr>
    </w:p>
    <w:p>
      <w:pPr>
        <w:ind w:left="960" w:right="60" w:hanging="426"/>
        <w:spacing w:after="0" w:line="285"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TransCon CNP, an investigational long-acting prodrug of C-type natriuretic peptide (CNP) in phase 2 development as a therapy for children with achondroplasia (ACH), the most common form of dwarfism, for which there is no FDA-approved treatment. TransCon CNP is designed to provide continuous exposure of CNP at safe, therapeutic levels via a single, weekly subcutaneous dose.</w:t>
      </w:r>
    </w:p>
    <w:p>
      <w:pPr>
        <w:spacing w:after="0" w:line="165"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Additionally, the company has established oncology as its second therapeutic area of focus and plans to submit an IND or similar by year-end for TransCon TLR7/8 Agonist, the company’s first oncology product candidate.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Ascendis Pharma is applying its innovative TransCon technologies to build a leading, fully integrated biopharmaceutical company focused on making a meaningful difference in patients’ lives. Guided by its core values of patients, science and passion, the company utilizes its TransCon technologies to create new and potentially best-in-class therapies.</w:t>
      </w:r>
    </w:p>
    <w:p>
      <w:pPr>
        <w:spacing w:after="0" w:line="18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Ascendis Pharma currently has a pipeline of three independent endocrinology rare disease product candidates in clinical development and is advancing oncology as its second therapeutic area of focus. The company continues to expand into additional therapeutic areas to address unmet patient needs. Ascendis is headquartered in Copenhagen, Denmark, with additional offices in Heidelberg and Berlin, Germany, and in Palo Alto and Redwood City, California.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b w:val="1"/>
          <w:bCs w:val="1"/>
          <w:u w:val="single" w:color="auto"/>
          <w:color w:val="auto"/>
        </w:rPr>
        <w:t>www.ascendispharma.com</w:t>
      </w:r>
      <w:r>
        <w:rPr>
          <w:rFonts w:ascii="Arial" w:cs="Arial" w:eastAsia="Arial" w:hAnsi="Arial"/>
          <w:sz w:val="18"/>
          <w:szCs w:val="18"/>
          <w:b w:val="1"/>
          <w:bCs w:val="1"/>
          <w:color w:val="auto"/>
        </w:rPr>
        <w: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60" w:top="273" w:right="499" w:bottom="1440" w:gutter="0" w:footer="0" w:header="0"/>
        </w:sectPr>
      </w:pPr>
    </w:p>
    <w:bookmarkStart w:id="31" w:name="page32"/>
    <w:bookmarkEnd w:id="31"/>
    <w:p>
      <w:pPr>
        <w:ind w:lef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25400"/>
                    </a:xfrm>
                    <a:prstGeom prst="rect">
                      <a:avLst/>
                    </a:prstGeom>
                    <a:noFill/>
                  </pic:spPr>
                </pic:pic>
              </a:graphicData>
            </a:graphic>
          </wp:anchor>
        </w:drawing>
        <w:t>Forward-Looking Statements</w:t>
      </w:r>
    </w:p>
    <w:p>
      <w:pPr>
        <w:spacing w:after="0" w:line="120" w:lineRule="exact"/>
        <w:rPr>
          <w:sz w:val="20"/>
          <w:szCs w:val="20"/>
          <w:color w:val="auto"/>
        </w:rPr>
      </w:pPr>
    </w:p>
    <w:p>
      <w:pPr>
        <w:ind w:left="5"/>
        <w:spacing w:after="0" w:line="285"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Ascendis’ future operations, plans and objectives of management are forward-looking statements. Examples of such statements include, but are not limited to, statements relating to (i) Ascendis’ 2020 corporate goals and Vision 3x3, (ii) Ascendis’ PDUFA date for its Biologics License Application for lonapegsomatropin, (iii) Ascendis’ planned IND filing for TransCon TLR7/8 Agonist by year-end,</w:t>
      </w:r>
    </w:p>
    <w:p>
      <w:pPr>
        <w:spacing w:after="0" w:line="2" w:lineRule="exact"/>
        <w:rPr>
          <w:sz w:val="20"/>
          <w:szCs w:val="20"/>
          <w:color w:val="auto"/>
        </w:rPr>
      </w:pPr>
    </w:p>
    <w:p>
      <w:pPr>
        <w:ind w:left="285" w:hanging="285"/>
        <w:spacing w:after="0"/>
        <w:tabs>
          <w:tab w:leader="none" w:pos="2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Ascendis’ ability to apply its platform technology to build a leading, fully integrated biopharma company, (v) Ascendis’ product pipeline and</w:t>
      </w:r>
    </w:p>
    <w:p>
      <w:pPr>
        <w:spacing w:after="0" w:line="19" w:lineRule="exact"/>
        <w:rPr>
          <w:rFonts w:ascii="Arial" w:cs="Arial" w:eastAsia="Arial" w:hAnsi="Arial"/>
          <w:sz w:val="17"/>
          <w:szCs w:val="17"/>
          <w:color w:val="auto"/>
        </w:rPr>
      </w:pPr>
    </w:p>
    <w:p>
      <w:pPr>
        <w:ind w:left="5" w:right="20"/>
        <w:spacing w:after="0" w:line="283" w:lineRule="auto"/>
        <w:rPr>
          <w:rFonts w:ascii="Arial" w:cs="Arial" w:eastAsia="Arial" w:hAnsi="Arial"/>
          <w:sz w:val="17"/>
          <w:szCs w:val="17"/>
          <w:color w:val="auto"/>
        </w:rPr>
      </w:pPr>
      <w:r>
        <w:rPr>
          <w:rFonts w:ascii="Arial" w:cs="Arial" w:eastAsia="Arial" w:hAnsi="Arial"/>
          <w:sz w:val="16"/>
          <w:szCs w:val="16"/>
          <w:color w:val="auto"/>
        </w:rPr>
        <w:t>expansion into additional therapeutic areas and (vi) Ascendis’ expectations regarding its ability to utilize its TransCon technologies to create new and potentially best-in-class therapies.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unforeseen safety or efficacy results in its oncology programs, lonapegsomatropin, TransCon PTH and TransCon CNP or other development programs; unforeseen expenses related to the development and potential commercialization of its oncology programs, lonapegsomatropin, TransCon PTH and TransCon CNP or other development programs, selling, general and administrative expenses, other research and development expenses and Ascendis’ business generally; delays in the development of its oncology programs, lonapegsomatropin, TransCon PTH and TransCon CNP or other development programs related to manufacturing, regulatory requirements, speed of patient recruitment or other unforeseen delays; dependence on third party manufacturers to supply study drug for planned clinical studies; Ascendis’ ability to obtain additional funding, if needed, to support its business activities and the effects on its business of the worldwide COVID-19 pandemic. For a further description of the risks and uncertainties that could cause actual results to differ from those expressed in these forward-looking statements, as well as risks relating to Ascendis’ business in general, see Ascendis’ prospectus supplement filed on July 9, 2020 and Ascendis’ current and future reports filed with, or submitted to, the U.S. Securities and Exchange Commission (SEC), including its Annual Report on Form 20-F filed with the SEC on April 3, 2020. Forward-looking statements do not reflect the potential impact of any future in-licensing, collaborations, acquisitions, mergers, dispositions, joint ventures, or investments that Ascendis may enter into or make. Ascendis does not assume any obligation to update any forward-looking statements, except as required by law.</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7"/>
          <w:szCs w:val="17"/>
          <w:i w:val="1"/>
          <w:iCs w:val="1"/>
          <w:color w:val="auto"/>
        </w:rPr>
        <w:t>Ascendis, Ascendis Pharma, the Ascendis Pharma logo, the company logo and TransCon are trademarks owned by the Ascendis Pharma Group.</w:t>
      </w:r>
    </w:p>
    <w:p>
      <w:pPr>
        <w:spacing w:after="0" w:line="33" w:lineRule="exact"/>
        <w:rPr>
          <w:sz w:val="20"/>
          <w:szCs w:val="20"/>
          <w:color w:val="auto"/>
        </w:rPr>
      </w:pPr>
    </w:p>
    <w:p>
      <w:pPr>
        <w:ind w:left="165" w:hanging="165"/>
        <w:spacing w:after="0"/>
        <w:tabs>
          <w:tab w:leader="none" w:pos="165"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November 2020 Ascendis Pharma A/S.</w:t>
      </w:r>
    </w:p>
    <w:p>
      <w:pPr>
        <w:spacing w:after="0" w:line="143"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5"/>
          </w:cols>
          <w:pgMar w:left="455" w:top="269"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25400"/>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 and Other Comprehensive Income / (loss)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(64,059)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(46,258)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(185,152)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(141,343)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(31,396)</w:t>
            </w:r>
          </w:p>
        </w:tc>
        <w:tc>
          <w:tcPr>
            <w:tcW w:w="0" w:type="dxa"/>
            <w:vAlign w:val="bottom"/>
          </w:tcPr>
          <w:p>
            <w:pPr>
              <w:spacing w:after="0"/>
              <w:rPr>
                <w:sz w:val="1"/>
                <w:szCs w:val="1"/>
                <w:color w:val="auto"/>
              </w:rPr>
            </w:pPr>
          </w:p>
        </w:tc>
      </w:tr>
      <w:tr>
        <w:trPr>
          <w:trHeight w:val="227"/>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(78,825)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(54,015)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(234,977)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Finance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30,547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7"/>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(121,760)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(25,174)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(280,192)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(121,741)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(25,113)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(279,990)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owners of the Company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(279,990)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(137,654)</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60" w:type="dxa"/>
            <w:vAlign w:val="bottom"/>
            <w:gridSpan w:val="2"/>
          </w:tcPr>
          <w:p>
            <w:pPr>
              <w:spacing w:after="0"/>
              <w:rPr>
                <w:sz w:val="20"/>
                <w:szCs w:val="20"/>
                <w:color w:val="auto"/>
              </w:rPr>
            </w:pPr>
            <w:r>
              <w:rPr>
                <w:rFonts w:ascii="Arial" w:cs="Arial" w:eastAsia="Arial" w:hAnsi="Arial"/>
                <w:sz w:val="18"/>
                <w:szCs w:val="18"/>
                <w:color w:val="auto"/>
              </w:rPr>
              <w:t>Basic and diluted earnings / (loss) per share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(0.53)</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52,715,204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47,590,837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49,647,471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46,066,493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(121,741)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(25,113)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(279,990)</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(137,654)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w w:val="95"/>
              </w:rPr>
              <w:t>Other comprehensive income / (loss) for the period, net of tax</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Total comprehensive income / (loss) for the period, net of tax</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(121,816)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(25,076)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(280,126)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(137,652)</w:t>
            </w: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60" w:type="dxa"/>
            <w:vAlign w:val="bottom"/>
            <w:gridSpan w:val="2"/>
          </w:tcPr>
          <w:p>
            <w:pPr>
              <w:spacing w:after="0"/>
              <w:rPr>
                <w:sz w:val="20"/>
                <w:szCs w:val="20"/>
                <w:color w:val="auto"/>
              </w:rPr>
            </w:pPr>
            <w:r>
              <w:rPr>
                <w:rFonts w:ascii="Arial" w:cs="Arial" w:eastAsia="Arial" w:hAnsi="Arial"/>
                <w:sz w:val="18"/>
                <w:szCs w:val="18"/>
                <w:color w:val="auto"/>
              </w:rPr>
              <w:t>Attributable to owners of the Company</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(121,816)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(25,076)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(280,126)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(137,652)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6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25400"/>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6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47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47,325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Deposits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92,523</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Trade receivables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2,722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Prepayments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15,266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Marketable securities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166,343</w:t>
            </w:r>
          </w:p>
        </w:tc>
        <w:tc>
          <w:tcPr>
            <w:tcW w:w="3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763,454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953,601</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1,046,124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60" w:type="dxa"/>
            <w:vAlign w:val="bottom"/>
            <w:gridSpan w:val="2"/>
            <w:vMerge w:val="continue"/>
          </w:tcPr>
          <w:p>
            <w:pPr>
              <w:spacing w:after="0"/>
              <w:rPr>
                <w:sz w:val="24"/>
                <w:szCs w:val="24"/>
                <w:color w:val="auto"/>
              </w:rPr>
            </w:pPr>
          </w:p>
        </w:tc>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 capital</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7,172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944,413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47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951,585</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 liabilities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26,952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30,112</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 liabilities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6,328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Trade payables and accrued expenses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38,108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taxes payable</w:t>
            </w:r>
          </w:p>
        </w:tc>
        <w:tc>
          <w:tcPr>
            <w:tcW w:w="47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64,427</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94,539</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79,618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1,046,124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780" w:type="dxa"/>
            <w:vAlign w:val="bottom"/>
            <w:vMerge w:val="restart"/>
          </w:tcPr>
          <w:p>
            <w:pPr>
              <w:jc w:val="right"/>
              <w:ind w:right="3232"/>
              <w:spacing w:after="0"/>
              <w:rPr>
                <w:sz w:val="20"/>
                <w:szCs w:val="20"/>
                <w:color w:val="auto"/>
              </w:rPr>
            </w:pPr>
            <w:r>
              <w:rPr>
                <w:rFonts w:ascii="Arial" w:cs="Arial" w:eastAsia="Arial" w:hAnsi="Arial"/>
                <w:sz w:val="18"/>
                <w:szCs w:val="18"/>
                <w:color w:val="auto"/>
              </w:rPr>
              <w:t>6</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69" w:right="45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5010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25400"/>
                    </a:xfrm>
                    <a:prstGeom prst="rect">
                      <a:avLst/>
                    </a:prstGeom>
                    <a:noFill/>
                  </pic:spPr>
                </pic:pic>
              </a:graphicData>
            </a:graphic>
          </wp:anchor>
        </w:drawing>
      </w:r>
    </w:p>
    <w:tbl>
      <w:tblPr>
        <w:tblLayout w:type="fixed"/>
        <w:tblInd w:w="5"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Investor contacts:</w:t>
            </w:r>
          </w:p>
        </w:tc>
        <w:tc>
          <w:tcPr>
            <w:tcW w:w="5720" w:type="dxa"/>
            <w:vAlign w:val="bottom"/>
            <w:gridSpan w:val="3"/>
          </w:tcPr>
          <w:p>
            <w:pPr>
              <w:ind w:left="3880"/>
              <w:spacing w:after="0"/>
              <w:rPr>
                <w:sz w:val="20"/>
                <w:szCs w:val="20"/>
                <w:color w:val="auto"/>
              </w:rPr>
            </w:pPr>
            <w:r>
              <w:rPr>
                <w:rFonts w:ascii="Arial" w:cs="Arial" w:eastAsia="Arial" w:hAnsi="Arial"/>
                <w:sz w:val="18"/>
                <w:szCs w:val="18"/>
                <w:b w:val="1"/>
                <w:bCs w:val="1"/>
                <w:color w:val="auto"/>
              </w:rPr>
              <w:t>Media contact:</w:t>
            </w:r>
          </w:p>
        </w:tc>
      </w:tr>
      <w:tr>
        <w:trPr>
          <w:trHeight w:val="20"/>
        </w:trPr>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1"/>
        </w:trPr>
        <w:tc>
          <w:tcPr>
            <w:tcW w:w="1360" w:type="dxa"/>
            <w:vAlign w:val="bottom"/>
          </w:tcPr>
          <w:p>
            <w:pPr>
              <w:spacing w:after="0"/>
              <w:rPr>
                <w:sz w:val="20"/>
                <w:szCs w:val="20"/>
                <w:color w:val="auto"/>
              </w:rPr>
            </w:pPr>
            <w:r>
              <w:rPr>
                <w:rFonts w:ascii="Arial" w:cs="Arial" w:eastAsia="Arial" w:hAnsi="Arial"/>
                <w:sz w:val="18"/>
                <w:szCs w:val="18"/>
                <w:color w:val="auto"/>
              </w:rPr>
              <w:t>Tim Lee</w:t>
            </w:r>
          </w:p>
        </w:tc>
        <w:tc>
          <w:tcPr>
            <w:tcW w:w="480" w:type="dxa"/>
            <w:vAlign w:val="bottom"/>
          </w:tcPr>
          <w:p>
            <w:pPr>
              <w:spacing w:after="0"/>
              <w:rPr>
                <w:sz w:val="19"/>
                <w:szCs w:val="19"/>
                <w:color w:val="auto"/>
              </w:rPr>
            </w:pPr>
          </w:p>
        </w:tc>
        <w:tc>
          <w:tcPr>
            <w:tcW w:w="5720" w:type="dxa"/>
            <w:vAlign w:val="bottom"/>
            <w:gridSpan w:val="3"/>
          </w:tcPr>
          <w:p>
            <w:pPr>
              <w:ind w:left="3880"/>
              <w:spacing w:after="0"/>
              <w:rPr>
                <w:sz w:val="20"/>
                <w:szCs w:val="20"/>
                <w:color w:val="auto"/>
              </w:rPr>
            </w:pPr>
            <w:r>
              <w:rPr>
                <w:rFonts w:ascii="Arial" w:cs="Arial" w:eastAsia="Arial" w:hAnsi="Arial"/>
                <w:sz w:val="18"/>
                <w:szCs w:val="18"/>
                <w:color w:val="auto"/>
              </w:rPr>
              <w:t>Ron Rogers</w:t>
            </w:r>
          </w:p>
        </w:tc>
      </w:tr>
      <w:tr>
        <w:trPr>
          <w:trHeight w:val="215"/>
        </w:trPr>
        <w:tc>
          <w:tcPr>
            <w:tcW w:w="1840" w:type="dxa"/>
            <w:vAlign w:val="bottom"/>
            <w:gridSpan w:val="2"/>
          </w:tcPr>
          <w:p>
            <w:pPr>
              <w:spacing w:after="0"/>
              <w:rPr>
                <w:sz w:val="20"/>
                <w:szCs w:val="20"/>
                <w:color w:val="auto"/>
              </w:rPr>
            </w:pPr>
            <w:r>
              <w:rPr>
                <w:rFonts w:ascii="Arial" w:cs="Arial" w:eastAsia="Arial" w:hAnsi="Arial"/>
                <w:sz w:val="18"/>
                <w:szCs w:val="18"/>
                <w:color w:val="auto"/>
              </w:rPr>
              <w:t>Ascendis Pharma</w:t>
            </w:r>
          </w:p>
        </w:tc>
        <w:tc>
          <w:tcPr>
            <w:tcW w:w="5720" w:type="dxa"/>
            <w:vAlign w:val="bottom"/>
            <w:gridSpan w:val="3"/>
          </w:tcPr>
          <w:p>
            <w:pPr>
              <w:ind w:left="3880"/>
              <w:spacing w:after="0"/>
              <w:rPr>
                <w:sz w:val="20"/>
                <w:szCs w:val="20"/>
                <w:color w:val="auto"/>
              </w:rPr>
            </w:pPr>
            <w:r>
              <w:rPr>
                <w:rFonts w:ascii="Arial" w:cs="Arial" w:eastAsia="Arial" w:hAnsi="Arial"/>
                <w:sz w:val="18"/>
                <w:szCs w:val="18"/>
                <w:color w:val="auto"/>
              </w:rPr>
              <w:t>Ascendis Pharma</w:t>
            </w:r>
          </w:p>
        </w:tc>
      </w:tr>
      <w:tr>
        <w:trPr>
          <w:trHeight w:val="215"/>
        </w:trPr>
        <w:tc>
          <w:tcPr>
            <w:tcW w:w="1360" w:type="dxa"/>
            <w:vAlign w:val="bottom"/>
          </w:tcPr>
          <w:p>
            <w:pPr>
              <w:spacing w:after="0"/>
              <w:rPr>
                <w:sz w:val="20"/>
                <w:szCs w:val="20"/>
                <w:color w:val="auto"/>
              </w:rPr>
            </w:pPr>
            <w:r>
              <w:rPr>
                <w:rFonts w:ascii="Arial" w:cs="Arial" w:eastAsia="Arial" w:hAnsi="Arial"/>
                <w:sz w:val="18"/>
                <w:szCs w:val="18"/>
                <w:color w:val="auto"/>
              </w:rPr>
              <w:t>(650) 374-6343</w:t>
            </w:r>
          </w:p>
        </w:tc>
        <w:tc>
          <w:tcPr>
            <w:tcW w:w="480" w:type="dxa"/>
            <w:vAlign w:val="bottom"/>
          </w:tcPr>
          <w:p>
            <w:pPr>
              <w:spacing w:after="0"/>
              <w:rPr>
                <w:sz w:val="18"/>
                <w:szCs w:val="18"/>
                <w:color w:val="auto"/>
              </w:rPr>
            </w:pPr>
          </w:p>
        </w:tc>
        <w:tc>
          <w:tcPr>
            <w:tcW w:w="5020" w:type="dxa"/>
            <w:vAlign w:val="bottom"/>
            <w:gridSpan w:val="2"/>
          </w:tcPr>
          <w:p>
            <w:pPr>
              <w:ind w:left="3880"/>
              <w:spacing w:after="0"/>
              <w:rPr>
                <w:sz w:val="20"/>
                <w:szCs w:val="20"/>
                <w:color w:val="auto"/>
              </w:rPr>
            </w:pPr>
            <w:r>
              <w:rPr>
                <w:rFonts w:ascii="Arial" w:cs="Arial" w:eastAsia="Arial" w:hAnsi="Arial"/>
                <w:sz w:val="18"/>
                <w:szCs w:val="18"/>
                <w:color w:val="auto"/>
                <w:w w:val="90"/>
              </w:rPr>
              <w:t>(650) 507-5208</w:t>
            </w:r>
          </w:p>
        </w:tc>
        <w:tc>
          <w:tcPr>
            <w:tcW w:w="700" w:type="dxa"/>
            <w:vAlign w:val="bottom"/>
          </w:tcPr>
          <w:p>
            <w:pPr>
              <w:spacing w:after="0"/>
              <w:rPr>
                <w:sz w:val="18"/>
                <w:szCs w:val="18"/>
                <w:color w:val="auto"/>
              </w:rPr>
            </w:pPr>
          </w:p>
        </w:tc>
      </w:tr>
      <w:tr>
        <w:trPr>
          <w:trHeight w:val="189"/>
        </w:trPr>
        <w:tc>
          <w:tcPr>
            <w:tcW w:w="1840" w:type="dxa"/>
            <w:vAlign w:val="bottom"/>
            <w:gridSpan w:val="2"/>
          </w:tcPr>
          <w:p>
            <w:pPr>
              <w:spacing w:after="0" w:line="189" w:lineRule="exact"/>
              <w:rPr>
                <w:sz w:val="20"/>
                <w:szCs w:val="20"/>
                <w:color w:val="auto"/>
              </w:rPr>
            </w:pPr>
            <w:r>
              <w:rPr>
                <w:rFonts w:ascii="Arial" w:cs="Arial" w:eastAsia="Arial" w:hAnsi="Arial"/>
                <w:sz w:val="18"/>
                <w:szCs w:val="18"/>
                <w:color w:val="auto"/>
                <w:w w:val="87"/>
              </w:rPr>
              <w:t>tle@ascendispharma.com</w:t>
            </w:r>
          </w:p>
        </w:tc>
        <w:tc>
          <w:tcPr>
            <w:tcW w:w="5720" w:type="dxa"/>
            <w:vAlign w:val="bottom"/>
            <w:gridSpan w:val="3"/>
          </w:tcPr>
          <w:p>
            <w:pPr>
              <w:ind w:left="3880"/>
              <w:spacing w:after="0" w:line="189" w:lineRule="exact"/>
              <w:rPr>
                <w:sz w:val="20"/>
                <w:szCs w:val="20"/>
                <w:color w:val="auto"/>
              </w:rPr>
            </w:pPr>
            <w:r>
              <w:rPr>
                <w:rFonts w:ascii="Arial" w:cs="Arial" w:eastAsia="Arial" w:hAnsi="Arial"/>
                <w:sz w:val="18"/>
                <w:szCs w:val="18"/>
                <w:color w:val="auto"/>
                <w:w w:val="86"/>
              </w:rPr>
              <w:t>rrs@ascendispharma.com</w:t>
            </w:r>
          </w:p>
        </w:tc>
      </w:tr>
      <w:tr>
        <w:trPr>
          <w:trHeight w:val="20"/>
        </w:trPr>
        <w:tc>
          <w:tcPr>
            <w:tcW w:w="1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20" w:lineRule="exact"/>
        <w:rPr>
          <w:sz w:val="20"/>
          <w:szCs w:val="20"/>
          <w:color w:val="auto"/>
        </w:rPr>
      </w:pPr>
    </w:p>
    <w:p>
      <w:pPr>
        <w:ind w:left="5"/>
        <w:spacing w:after="0"/>
        <w:rPr>
          <w:sz w:val="20"/>
          <w:szCs w:val="20"/>
          <w:color w:val="auto"/>
        </w:rPr>
      </w:pPr>
      <w:r>
        <w:rPr>
          <w:rFonts w:ascii="Arial" w:cs="Arial" w:eastAsia="Arial" w:hAnsi="Arial"/>
          <w:sz w:val="18"/>
          <w:szCs w:val="18"/>
          <w:color w:val="auto"/>
        </w:rPr>
        <w:t>Patti Bank</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Westwicke Partners</w:t>
      </w:r>
    </w:p>
    <w:p>
      <w:pPr>
        <w:spacing w:after="0" w:line="8" w:lineRule="exact"/>
        <w:rPr>
          <w:sz w:val="20"/>
          <w:szCs w:val="20"/>
          <w:color w:val="auto"/>
        </w:rPr>
      </w:pPr>
    </w:p>
    <w:p>
      <w:pPr>
        <w:ind w:left="5" w:right="8019" w:hanging="5"/>
        <w:spacing w:after="0" w:line="301" w:lineRule="auto"/>
        <w:tabs>
          <w:tab w:leader="none" w:pos="438"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513-1284 </w:t>
      </w:r>
      <w:r>
        <w:rPr>
          <w:rFonts w:ascii="Arial" w:cs="Arial" w:eastAsia="Arial" w:hAnsi="Arial"/>
          <w:sz w:val="16"/>
          <w:szCs w:val="16"/>
          <w:u w:val="single" w:color="auto"/>
          <w:color w:val="auto"/>
        </w:rPr>
        <w:t>patti.bank@westwicke.com ir@ascendispharma.com</w:t>
      </w:r>
    </w:p>
    <w:p>
      <w:pPr>
        <w:spacing w:after="0" w:line="100" w:lineRule="exact"/>
        <w:rPr>
          <w:sz w:val="20"/>
          <w:szCs w:val="20"/>
          <w:color w:val="auto"/>
        </w:rPr>
      </w:pPr>
    </w:p>
    <w:p>
      <w:pPr>
        <w:ind w:left="5445"/>
        <w:spacing w:after="0"/>
        <w:rPr>
          <w:sz w:val="20"/>
          <w:szCs w:val="20"/>
          <w:color w:val="auto"/>
        </w:rPr>
      </w:pPr>
      <w:r>
        <w:rPr>
          <w:rFonts w:ascii="Arial" w:cs="Arial" w:eastAsia="Arial" w:hAnsi="Arial"/>
          <w:sz w:val="18"/>
          <w:szCs w:val="18"/>
          <w:color w:val="auto"/>
        </w:rPr>
        <w:t>7</w:t>
      </w:r>
    </w:p>
    <w:sectPr>
      <w:pgSz w:w="11900" w:h="16838" w:orient="portrait"/>
      <w:cols w:equalWidth="0" w:num="1">
        <w:col w:w="10004"/>
      </w:cols>
      <w:pgMar w:left="455" w:top="2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10">
    <w:nsid w:val="DED7263"/>
    <w:multiLevelType w:val="hybridMultilevel"/>
    <w:lvl w:ilvl="0">
      <w:lvlJc w:val="left"/>
      <w:lvlText w:val="\endash "/>
      <w:numFmt w:val="bullet"/>
      <w:start w:val="1"/>
    </w:lvl>
    <w:lvl w:ilvl="1">
      <w:lvlJc w:val="left"/>
      <w:lvlText w:val="\endash "/>
      <w:numFmt w:val="bullet"/>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Roman"/>
      <w:start w:val="4"/>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2020-11-12T05:33:27Z</dcterms:created>
  <dcterms:modified xsi:type="dcterms:W3CDTF">2020-11-12T05:33:27Z</dcterms:modified>
</cp:coreProperties>
</file>