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635635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652780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97790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129540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right="100" w:firstLine="8"/>
        <w:spacing w:after="0" w:line="241" w:lineRule="auto"/>
        <w:tabs>
          <w:tab w:leader="none" w:pos="24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0"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9" w:lineRule="exact"/>
        <w:rPr>
          <w:sz w:val="24"/>
          <w:szCs w:val="24"/>
          <w:color w:val="auto"/>
        </w:rPr>
      </w:pPr>
    </w:p>
    <w:p>
      <w:pPr>
        <w:ind w:left="340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-5715</wp:posOffset>
            </wp:positionV>
            <wp:extent cx="568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960" cy="8255"/>
                    </a:xfrm>
                    <a:prstGeom prst="rect">
                      <a:avLst/>
                    </a:prstGeom>
                    <a:noFill/>
                  </pic:spPr>
                </pic:pic>
              </a:graphicData>
            </a:graphic>
          </wp:anchor>
        </w:drawing>
      </w:r>
    </w:p>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0" w:lineRule="exact"/>
        <w:rPr>
          <w:sz w:val="24"/>
          <w:szCs w:val="24"/>
          <w:color w:val="auto"/>
        </w:rPr>
      </w:pPr>
    </w:p>
    <w:p>
      <w:pPr>
        <w:ind w:right="360" w:firstLine="8"/>
        <w:spacing w:after="0" w:line="258" w:lineRule="auto"/>
        <w:tabs>
          <w:tab w:leader="none" w:pos="248"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121920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106680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Kingdom of Denmark</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DK-2900 Hellerup, Denmark</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Jan Møller Mikkelsen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DK-2900 Hellerup, Denmark</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+45 70 22 22 44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1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0" w:type="dxa"/>
            <w:vAlign w:val="bottom"/>
          </w:tcPr>
          <w:p>
            <w:pPr>
              <w:spacing w:after="0"/>
              <w:rPr>
                <w:sz w:val="16"/>
                <w:szCs w:val="16"/>
                <w:color w:val="auto"/>
              </w:rPr>
            </w:pPr>
          </w:p>
        </w:tc>
        <w:tc>
          <w:tcPr>
            <w:tcW w:w="4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r>
      <w:tr>
        <w:trPr>
          <w:trHeight w:val="388"/>
        </w:trPr>
        <w:tc>
          <w:tcPr>
            <w:tcW w:w="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 one ordinary share,</w:t>
            </w:r>
          </w:p>
        </w:tc>
        <w:tc>
          <w:tcPr>
            <w:tcW w:w="1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ASND</w:t>
            </w:r>
          </w:p>
        </w:tc>
        <w:tc>
          <w:tcPr>
            <w:tcW w:w="140" w:type="dxa"/>
            <w:vAlign w:val="bottom"/>
          </w:tcPr>
          <w:p>
            <w:pPr>
              <w:spacing w:after="0"/>
              <w:rPr>
                <w:sz w:val="24"/>
                <w:szCs w:val="24"/>
                <w:color w:val="auto"/>
              </w:rPr>
            </w:pPr>
          </w:p>
        </w:tc>
        <w:tc>
          <w:tcPr>
            <w:tcW w:w="43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 value DKK 1 per share</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nominal value DKK 1 per share*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20" w:type="dxa"/>
            <w:vAlign w:val="bottom"/>
          </w:tcPr>
          <w:p>
            <w:pPr>
              <w:spacing w:after="0"/>
              <w:rPr>
                <w:sz w:val="24"/>
                <w:szCs w:val="24"/>
                <w:color w:val="auto"/>
              </w:rPr>
            </w:pPr>
          </w:p>
        </w:tc>
      </w:tr>
      <w:tr>
        <w:trPr>
          <w:trHeight w:val="1096"/>
        </w:trPr>
        <w:tc>
          <w:tcPr>
            <w:tcW w:w="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 w:name="page2"/>
    <w:bookmarkEnd w:id="1"/>
    <w:p>
      <w:pPr>
        <w:ind w:right="4220" w:firstLine="8"/>
        <w:spacing w:after="0" w:line="311" w:lineRule="auto"/>
        <w:tabs>
          <w:tab w:leader="none" w:pos="1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Securities registered or to be registered pursuant to Section 12(g) of the Act: None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136525</wp:posOffset>
            </wp:positionV>
            <wp:extent cx="2383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57,707,439 ordinary shares (including 1,093,054 ordinary shares represented by ADSs held by the registrant and its consolidated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8" w:lineRule="exact"/>
        <w:rPr>
          <w:sz w:val="20"/>
          <w:szCs w:val="20"/>
          <w:color w:val="auto"/>
        </w:rPr>
      </w:pPr>
    </w:p>
    <w:p>
      <w:pPr>
        <w:spacing w:after="0" w:line="207" w:lineRule="exact"/>
        <w:tabs>
          <w:tab w:leader="none" w:pos="8580" w:val="left"/>
        </w:tabs>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97" w:lineRule="exact"/>
        <w:rPr>
          <w:sz w:val="20"/>
          <w:szCs w:val="20"/>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 w:lineRule="exact"/>
        <w:rPr>
          <w:sz w:val="20"/>
          <w:szCs w:val="20"/>
          <w:color w:val="auto"/>
        </w:rPr>
      </w:pPr>
    </w:p>
    <w:p>
      <w:pPr>
        <w:ind w:right="34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260" w:hanging="252"/>
        <w:spacing w:after="0" w:line="207" w:lineRule="exact"/>
        <w:tabs>
          <w:tab w:leader="none" w:pos="2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4" w:lineRule="exact"/>
        <w:rPr>
          <w:sz w:val="20"/>
          <w:szCs w:val="20"/>
          <w:color w:val="auto"/>
        </w:rPr>
      </w:pPr>
    </w:p>
    <w:p>
      <w:pPr>
        <w:ind w:left="20"/>
        <w:spacing w:after="0" w:line="207" w:lineRule="exact"/>
        <w:tabs>
          <w:tab w:leader="none" w:pos="3260" w:val="left"/>
          <w:tab w:leader="none" w:pos="5640" w:val="left"/>
          <w:tab w:leader="none" w:pos="83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6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0"/>
          <w:szCs w:val="20"/>
          <w:color w:val="auto"/>
        </w:rPr>
      </w:pPr>
    </w:p>
    <w:p>
      <w:pPr>
        <w:ind w:right="8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0"/>
          <w:szCs w:val="20"/>
          <w:color w:val="auto"/>
        </w:rPr>
      </w:pPr>
    </w:p>
    <w:p>
      <w:pPr>
        <w:ind w:right="3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6" w:right="339" w:bottom="1440" w:gutter="0" w:footer="0" w:header="0"/>
        </w:sectPr>
      </w:pPr>
    </w:p>
    <w:p>
      <w:pPr>
        <w:spacing w:after="0" w:line="1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60" w:hanging="28"/>
        <w:spacing w:after="0" w:line="238" w:lineRule="exact"/>
        <w:rPr>
          <w:sz w:val="20"/>
          <w:szCs w:val="20"/>
          <w:color w:val="auto"/>
        </w:rPr>
      </w:pPr>
      <w:r>
        <w:rPr>
          <w:rFonts w:ascii="Times New Roman" w:cs="Times New Roman" w:eastAsia="Times New Roman" w:hAnsi="Times New Roman"/>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32" w:lineRule="exact"/>
        <w:rPr>
          <w:sz w:val="20"/>
          <w:szCs w:val="20"/>
          <w:color w:val="auto"/>
        </w:rPr>
      </w:pPr>
    </w:p>
    <w:p>
      <w:pPr>
        <w:sectPr>
          <w:pgSz w:w="11900" w:h="16838" w:orient="portrait"/>
          <w:cols w:equalWidth="0" w:num="5">
            <w:col w:w="1780" w:space="80"/>
            <w:col w:w="1320" w:space="720"/>
            <w:col w:w="4060" w:space="720"/>
            <w:col w:w="420" w:space="80"/>
            <w:col w:w="2060"/>
          </w:cols>
          <w:pgMar w:left="320" w:top="33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33" w:lineRule="exact"/>
        <w:rPr>
          <w:sz w:val="20"/>
          <w:szCs w:val="20"/>
          <w:color w:val="auto"/>
        </w:rPr>
      </w:pPr>
    </w:p>
    <w:p>
      <w:pPr>
        <w:ind w:left="260" w:hanging="252"/>
        <w:spacing w:after="0" w:line="207" w:lineRule="exact"/>
        <w:tabs>
          <w:tab w:leader="none" w:pos="2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8" w:lineRule="exact"/>
        <w:rPr>
          <w:sz w:val="20"/>
          <w:szCs w:val="20"/>
          <w:color w:val="auto"/>
        </w:rPr>
      </w:pPr>
    </w:p>
    <w:p>
      <w:pPr>
        <w:ind w:right="180"/>
        <w:spacing w:after="0" w:line="218"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9"/>
              </w:rPr>
              <w:t>Auditor Firm ID:</w:t>
            </w:r>
          </w:p>
        </w:tc>
        <w:tc>
          <w:tcPr>
            <w:tcW w:w="54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Auditor Name:  Deloitte Statsautoriseret</w:t>
            </w:r>
          </w:p>
        </w:tc>
        <w:tc>
          <w:tcPr>
            <w:tcW w:w="36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Auditor Location:</w:t>
            </w:r>
          </w:p>
        </w:tc>
      </w:tr>
      <w:tr>
        <w:trPr>
          <w:trHeight w:val="242"/>
        </w:trPr>
        <w:tc>
          <w:tcPr>
            <w:tcW w:w="21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1294</w:t>
            </w:r>
          </w:p>
        </w:tc>
        <w:tc>
          <w:tcPr>
            <w:tcW w:w="540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Revisionspartnerselskab</w:t>
            </w:r>
          </w:p>
        </w:tc>
        <w:tc>
          <w:tcPr>
            <w:tcW w:w="36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Copenhagen, Denmark</w:t>
            </w:r>
          </w:p>
        </w:tc>
      </w:tr>
      <w:tr>
        <w:trPr>
          <w:trHeight w:val="27"/>
        </w:trPr>
        <w:tc>
          <w:tcPr>
            <w:tcW w:w="216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316"/>
        </w:trPr>
        <w:tc>
          <w:tcPr>
            <w:tcW w:w="21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r>
        <w:trPr>
          <w:trHeight w:val="848"/>
        </w:trPr>
        <w:tc>
          <w:tcPr>
            <w:tcW w:w="21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2" w:name="page3"/>
    <w:bookmarkEnd w:id="2"/>
    <w:p>
      <w:pPr>
        <w:jc w:val="center"/>
        <w:ind w:left="10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360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2453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Summary of Material Risks Associated With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26803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5"/>
              </w:rPr>
              <w:t>PART I</w:t>
            </w:r>
          </w:p>
        </w:tc>
        <w:tc>
          <w:tcPr>
            <w:tcW w:w="1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Offer Statistics and Expected Timetable</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Key Information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Information on the Company</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4A</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7</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The Offer and Listing</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11</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0"/>
          </w:tcPr>
          <w:p>
            <w:pPr>
              <w:jc w:val="center"/>
              <w:ind w:right="1120"/>
              <w:spacing w:after="0"/>
              <w:rPr>
                <w:sz w:val="20"/>
                <w:szCs w:val="20"/>
                <w:color w:val="auto"/>
              </w:rPr>
            </w:pPr>
            <w:r>
              <w:rPr>
                <w:rFonts w:ascii="Times New Roman" w:cs="Times New Roman" w:eastAsia="Times New Roman" w:hAnsi="Times New Roman"/>
                <w:sz w:val="18"/>
                <w:szCs w:val="18"/>
                <w:color w:val="0000FF"/>
                <w:w w:val="95"/>
              </w:rPr>
              <w:t>PART II</w:t>
            </w:r>
          </w:p>
        </w:tc>
        <w:tc>
          <w:tcPr>
            <w:tcW w:w="0" w:type="dxa"/>
            <w:vAlign w:val="bottom"/>
          </w:tcPr>
          <w:p>
            <w:pPr>
              <w:spacing w:after="0"/>
              <w:rPr>
                <w:sz w:val="1"/>
                <w:szCs w:val="1"/>
                <w:color w:val="auto"/>
              </w:rPr>
            </w:pPr>
          </w:p>
        </w:tc>
      </w:tr>
      <w:tr>
        <w:trPr>
          <w:trHeight w:val="3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3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600" w:type="dxa"/>
            <w:vAlign w:val="bottom"/>
            <w:tcBorders>
              <w:top w:val="single" w:sz="8" w:color="0000FF"/>
            </w:tcBorders>
            <w:gridSpan w:val="6"/>
          </w:tcPr>
          <w:p>
            <w:pPr>
              <w:spacing w:after="0"/>
              <w:rPr>
                <w:sz w:val="24"/>
                <w:szCs w:val="24"/>
                <w:color w:val="auto"/>
              </w:rPr>
            </w:pPr>
          </w:p>
        </w:tc>
        <w:tc>
          <w:tcPr>
            <w:tcW w:w="1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Material Modification to the Rights of Security Holders and Use of Proceeds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 and Procedures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16A</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Audit Committee Financial Expert</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16B</w:t>
            </w: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Code of Ethics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16C</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16D</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16E</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16F</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16G</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16H</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16I</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120" w:type="dxa"/>
            <w:vAlign w:val="bottom"/>
            <w:tcBorders>
              <w:left w:val="single" w:sz="8" w:color="0000EE"/>
            </w:tcBorders>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16J</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8"/>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Insider Trading Policies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16K</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12"/>
          </w:tcPr>
          <w:p>
            <w:pPr>
              <w:jc w:val="center"/>
              <w:ind w:right="1000"/>
              <w:spacing w:after="0"/>
              <w:rPr>
                <w:sz w:val="20"/>
                <w:szCs w:val="20"/>
                <w:color w:val="auto"/>
              </w:rPr>
            </w:pPr>
            <w:r>
              <w:rPr>
                <w:rFonts w:ascii="Times New Roman" w:cs="Times New Roman" w:eastAsia="Times New Roman" w:hAnsi="Times New Roman"/>
                <w:sz w:val="18"/>
                <w:szCs w:val="18"/>
                <w:color w:val="0000FF"/>
                <w:w w:val="96"/>
              </w:rPr>
              <w:t>PART III</w:t>
            </w:r>
          </w:p>
        </w:tc>
        <w:tc>
          <w:tcPr>
            <w:tcW w:w="0" w:type="dxa"/>
            <w:vAlign w:val="bottom"/>
          </w:tcPr>
          <w:p>
            <w:pPr>
              <w:spacing w:after="0"/>
              <w:rPr>
                <w:sz w:val="1"/>
                <w:szCs w:val="1"/>
                <w:color w:val="auto"/>
              </w:rPr>
            </w:pPr>
          </w:p>
        </w:tc>
      </w:tr>
      <w:tr>
        <w:trPr>
          <w:trHeight w:val="3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17</w:t>
            </w:r>
          </w:p>
        </w:tc>
        <w:tc>
          <w:tcPr>
            <w:tcW w:w="3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tcBorders>
              <w:top w:val="single" w:sz="8" w:color="0000FF"/>
            </w:tcBorders>
            <w:gridSpan w:val="8"/>
          </w:tcPr>
          <w:p>
            <w:pPr>
              <w:spacing w:after="0"/>
              <w:rPr>
                <w:sz w:val="24"/>
                <w:szCs w:val="24"/>
                <w:color w:val="auto"/>
              </w:rPr>
            </w:pPr>
          </w:p>
        </w:tc>
        <w:tc>
          <w:tcPr>
            <w:tcW w:w="10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18</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19</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798830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72</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137</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150</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155</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155</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179</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w:t>
      </w:r>
    </w:p>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2">
            <w:col w:w="10120" w:space="720"/>
            <w:col w:w="360"/>
          </w:cols>
          <w:pgMar w:left="340" w:top="33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used herein, references to “we”, “us”, the “company”, “Ascendis”, or “Ascendis Pharma”, or similar terms in this annual report on Form 20-F shall mean Ascendis Pharma A/S and, as the context requires, its subsidiaries.</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consolidated financial statements are presented in euros except where otherwise indicated, and are prepared in accordance with IFRS Accounting Standards (“IFRS”), as issued by the International Accounting Standards Board. All references in this annual report to “Dollars”, “USD” and “$” are to U.S. Dollars, and all references to “euro”, “EUR” or “€” are to European Union euro. Throughout this annual report, references to ADSs mean ADSs or ordinary shares represented by ADSs, as the case may be.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6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w:t>
      </w:r>
    </w:p>
    <w:p>
      <w:pPr>
        <w:spacing w:after="0" w:line="122" w:lineRule="exact"/>
        <w:rPr>
          <w:rFonts w:ascii="Times New Roman" w:cs="Times New Roman" w:eastAsia="Times New Roman" w:hAnsi="Times New Roman"/>
          <w:sz w:val="18"/>
          <w:szCs w:val="18"/>
          <w:color w:val="auto"/>
        </w:rPr>
      </w:pPr>
    </w:p>
    <w:p>
      <w:pPr>
        <w:ind w:left="520" w:right="160" w:hanging="512"/>
        <w:spacing w:after="0" w:line="23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 availability of TransCon Growth Hormone (“TransCon hGH”), known by its brand name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in the United States and related patient support services;</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 and product candidates, if approved;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of our products and product candidates and associated devices;</w:t>
      </w:r>
    </w:p>
    <w:p>
      <w:pPr>
        <w:spacing w:after="0" w:line="115" w:lineRule="exact"/>
        <w:rPr>
          <w:rFonts w:ascii="Times New Roman" w:cs="Times New Roman" w:eastAsia="Times New Roman" w:hAnsi="Times New Roman"/>
          <w:sz w:val="18"/>
          <w:szCs w:val="18"/>
          <w:color w:val="auto"/>
        </w:rPr>
      </w:pPr>
    </w:p>
    <w:p>
      <w:pPr>
        <w:ind w:left="520" w:right="4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developing our product candidates or any other future product candidates, and conducting preclinical studies and clinical trials;</w:t>
      </w:r>
    </w:p>
    <w:p>
      <w:pPr>
        <w:spacing w:after="0" w:line="55" w:lineRule="exact"/>
        <w:rPr>
          <w:rFonts w:ascii="Times New Roman" w:cs="Times New Roman" w:eastAsia="Times New Roman" w:hAnsi="Times New Roman"/>
          <w:sz w:val="18"/>
          <w:szCs w:val="18"/>
          <w:color w:val="auto"/>
        </w:rPr>
      </w:pPr>
    </w:p>
    <w:p>
      <w:pPr>
        <w:ind w:left="520" w:right="52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oncology as our second of three independent therapeutic areas of focus and our development of a pipeline of product candidates related to oncology;</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Eyconis Inc.’s ability to develop, manufacture, and commercialize TransCon ophthalmology assets globally;</w:t>
      </w:r>
    </w:p>
    <w:p>
      <w:pPr>
        <w:spacing w:after="0" w:line="115" w:lineRule="exact"/>
        <w:rPr>
          <w:rFonts w:ascii="Times New Roman" w:cs="Times New Roman" w:eastAsia="Times New Roman" w:hAnsi="Times New Roman"/>
          <w:sz w:val="18"/>
          <w:szCs w:val="18"/>
          <w:color w:val="auto"/>
        </w:rPr>
      </w:pPr>
    </w:p>
    <w:p>
      <w:pPr>
        <w:ind w:left="520" w:right="56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 if approved for commercial use;</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products and product candidates over existing therapies;</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w:t>
      </w:r>
    </w:p>
    <w:p>
      <w:pPr>
        <w:spacing w:after="0" w:line="115" w:lineRule="exact"/>
        <w:rPr>
          <w:rFonts w:ascii="Times New Roman" w:cs="Times New Roman" w:eastAsia="Times New Roman" w:hAnsi="Times New Roman"/>
          <w:sz w:val="18"/>
          <w:szCs w:val="18"/>
          <w:color w:val="auto"/>
        </w:rPr>
      </w:pPr>
    </w:p>
    <w:p>
      <w:pPr>
        <w:ind w:left="520" w:right="2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develop additional product candidates using our TransCon technologies and submit Investigational New Drug Applications (“INDs”) or similar for such product candidates;</w:t>
      </w:r>
    </w:p>
    <w:p>
      <w:pPr>
        <w:spacing w:after="0" w:line="55" w:lineRule="exact"/>
        <w:rPr>
          <w:rFonts w:ascii="Times New Roman" w:cs="Times New Roman" w:eastAsia="Times New Roman" w:hAnsi="Times New Roman"/>
          <w:sz w:val="18"/>
          <w:szCs w:val="18"/>
          <w:color w:val="auto"/>
        </w:rPr>
      </w:pPr>
    </w:p>
    <w:p>
      <w:pPr>
        <w:ind w:left="520" w:right="12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55" w:lineRule="exact"/>
        <w:rPr>
          <w:rFonts w:ascii="Times New Roman" w:cs="Times New Roman" w:eastAsia="Times New Roman" w:hAnsi="Times New Roman"/>
          <w:sz w:val="18"/>
          <w:szCs w:val="18"/>
          <w:color w:val="auto"/>
        </w:rPr>
      </w:pPr>
    </w:p>
    <w:p>
      <w:pPr>
        <w:ind w:left="520" w:right="18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current and future collaboration partners to pursue the development of our product candidates and submit INDs or similar for such product candidates;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 w:name="page5"/>
    <w:bookmarkEnd w:id="4"/>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plans with respect to our products and product candidates;</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additional indications for TransCon hGH;</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acquire and advance product candidates into, and successfully complete, clinical trials;</w:t>
      </w:r>
    </w:p>
    <w:p>
      <w:pPr>
        <w:spacing w:after="0" w:line="115" w:lineRule="exact"/>
        <w:rPr>
          <w:rFonts w:ascii="Times New Roman" w:cs="Times New Roman" w:eastAsia="Times New Roman" w:hAnsi="Times New Roman"/>
          <w:sz w:val="18"/>
          <w:szCs w:val="18"/>
          <w:color w:val="auto"/>
        </w:rPr>
      </w:pPr>
    </w:p>
    <w:p>
      <w:pPr>
        <w:ind w:left="520" w:right="440" w:hanging="512"/>
        <w:spacing w:after="0" w:line="28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our products and product candidates and technologies, including global commercialization strategies;</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product candidates;</w:t>
      </w:r>
    </w:p>
    <w:p>
      <w:pPr>
        <w:spacing w:after="0" w:line="115" w:lineRule="exact"/>
        <w:rPr>
          <w:rFonts w:ascii="Times New Roman" w:cs="Times New Roman" w:eastAsia="Times New Roman" w:hAnsi="Times New Roman"/>
          <w:sz w:val="18"/>
          <w:szCs w:val="18"/>
          <w:color w:val="auto"/>
        </w:rPr>
      </w:pPr>
    </w:p>
    <w:p>
      <w:pPr>
        <w:ind w:left="520" w:hanging="512"/>
        <w:spacing w:after="0" w:line="28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apply our technology platform and algorithm for product innovation to develop highly differentiated product candidates to address unmet medical needs;</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platform technology to build a leading, fully integrated, global biopharmaceutical company;</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TransCon technologies to create new and potentially best-in-class therapies;</w:t>
      </w:r>
    </w:p>
    <w:p>
      <w:pPr>
        <w:spacing w:after="0" w:line="12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hire qualified personnel;</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market conditions, competitors and industry;</w:t>
      </w:r>
    </w:p>
    <w:p>
      <w:pPr>
        <w:spacing w:after="0" w:line="115" w:lineRule="exact"/>
        <w:rPr>
          <w:rFonts w:ascii="Times New Roman" w:cs="Times New Roman" w:eastAsia="Times New Roman" w:hAnsi="Times New Roman"/>
          <w:sz w:val="18"/>
          <w:szCs w:val="18"/>
          <w:color w:val="auto"/>
        </w:rPr>
      </w:pPr>
    </w:p>
    <w:p>
      <w:pPr>
        <w:ind w:left="520" w:right="200" w:hanging="512"/>
        <w:spacing w:after="0" w:line="28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economic, political, legal, compliance, social and business factors, including inflation, geopolitical conflicts and energy shortages; and</w:t>
      </w:r>
    </w:p>
    <w:p>
      <w:pPr>
        <w:spacing w:after="0" w:line="55" w:lineRule="exact"/>
        <w:rPr>
          <w:rFonts w:ascii="Times New Roman" w:cs="Times New Roman" w:eastAsia="Times New Roman" w:hAnsi="Times New Roman"/>
          <w:sz w:val="18"/>
          <w:szCs w:val="18"/>
          <w:color w:val="auto"/>
        </w:rPr>
      </w:pPr>
    </w:p>
    <w:p>
      <w:pPr>
        <w:ind w:left="520" w:right="440" w:hanging="512"/>
        <w:spacing w:after="0" w:line="28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business of the worldwide pandemics and the ongoing conflict in the region surrounding Ukraine and Russia and the ongoing conflict between Israel and Hamas.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3.D—Key Information—Risk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U.S. Securities and Exchange Commission (“SEC”) after the date of this annual report. We qualify all of our forward-looking statements by these cautionary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“Item 3.D—Key Information—Risk Factors” in this annual report. You should carefully consider these risks and uncertainties when investing in our common stock. The principal risks and uncertainties affecting our business include the following:</w:t>
      </w:r>
    </w:p>
    <w:p>
      <w:pPr>
        <w:spacing w:after="0" w:line="54"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we may incur significant losses in the future, which makes it difficult to assess our future viability.</w:t>
      </w:r>
    </w:p>
    <w:p>
      <w:pPr>
        <w:spacing w:after="0" w:line="88" w:lineRule="exact"/>
        <w:rPr>
          <w:rFonts w:ascii="Times New Roman" w:cs="Times New Roman" w:eastAsia="Times New Roman" w:hAnsi="Times New Roman"/>
          <w:sz w:val="18"/>
          <w:szCs w:val="18"/>
          <w:color w:val="auto"/>
        </w:rPr>
      </w:pPr>
    </w:p>
    <w:p>
      <w:pPr>
        <w:ind w:left="520" w:right="20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additional financing to achieve our goals, and a failure to obtain this capital if needed on acceptable terms, or at all, could force us to delay, limit, scale back or cease our commercialization activities, product development or any other or all operations.</w:t>
      </w:r>
    </w:p>
    <w:p>
      <w:pPr>
        <w:spacing w:after="0" w:line="41" w:lineRule="exact"/>
        <w:rPr>
          <w:rFonts w:ascii="Times New Roman" w:cs="Times New Roman" w:eastAsia="Times New Roman" w:hAnsi="Times New Roman"/>
          <w:sz w:val="18"/>
          <w:szCs w:val="18"/>
          <w:color w:val="auto"/>
        </w:rPr>
      </w:pPr>
    </w:p>
    <w:p>
      <w:pPr>
        <w:ind w:left="520" w:right="8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products and product candidates, which may not be successful in nonclinical studies or clinical trials, receive regulatory approval or be successfully commercialized.</w:t>
      </w:r>
    </w:p>
    <w:p>
      <w:pPr>
        <w:spacing w:after="0" w:line="41" w:lineRule="exact"/>
        <w:rPr>
          <w:rFonts w:ascii="Times New Roman" w:cs="Times New Roman" w:eastAsia="Times New Roman" w:hAnsi="Times New Roman"/>
          <w:sz w:val="18"/>
          <w:szCs w:val="18"/>
          <w:color w:val="auto"/>
        </w:rPr>
      </w:pPr>
    </w:p>
    <w:p>
      <w:pPr>
        <w:ind w:left="520" w:right="48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28" w:lineRule="exact"/>
        <w:rPr>
          <w:rFonts w:ascii="Times New Roman" w:cs="Times New Roman" w:eastAsia="Times New Roman" w:hAnsi="Times New Roman"/>
          <w:sz w:val="18"/>
          <w:szCs w:val="18"/>
          <w:color w:val="auto"/>
        </w:rPr>
      </w:pPr>
    </w:p>
    <w:p>
      <w:pPr>
        <w:ind w:left="520" w:right="42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efforts may not be effective and we may not be successful in our commercial efforts.</w:t>
      </w:r>
    </w:p>
    <w:p>
      <w:pPr>
        <w:spacing w:after="0" w:line="102" w:lineRule="exact"/>
        <w:rPr>
          <w:rFonts w:ascii="Times New Roman" w:cs="Times New Roman" w:eastAsia="Times New Roman" w:hAnsi="Times New Roman"/>
          <w:sz w:val="18"/>
          <w:szCs w:val="18"/>
          <w:color w:val="auto"/>
        </w:rPr>
      </w:pPr>
    </w:p>
    <w:p>
      <w:pPr>
        <w:ind w:left="520" w:right="300" w:hanging="512"/>
        <w:spacing w:after="0" w:line="311"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4" w:lineRule="exact"/>
        <w:rPr>
          <w:rFonts w:ascii="Times New Roman" w:cs="Times New Roman" w:eastAsia="Times New Roman" w:hAnsi="Times New Roman"/>
          <w:sz w:val="17"/>
          <w:szCs w:val="17"/>
          <w:color w:val="auto"/>
        </w:rPr>
      </w:pPr>
    </w:p>
    <w:p>
      <w:pPr>
        <w:ind w:left="520" w:right="86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third-parties to manufacture preclinical, clinical and commercial supplies of our products, product candidates and their device components.</w:t>
      </w:r>
    </w:p>
    <w:p>
      <w:pPr>
        <w:spacing w:after="0" w:line="41" w:lineRule="exact"/>
        <w:rPr>
          <w:rFonts w:ascii="Times New Roman" w:cs="Times New Roman" w:eastAsia="Times New Roman" w:hAnsi="Times New Roman"/>
          <w:sz w:val="18"/>
          <w:szCs w:val="18"/>
          <w:color w:val="auto"/>
        </w:rPr>
      </w:pPr>
    </w:p>
    <w:p>
      <w:pPr>
        <w:ind w:left="520" w:right="54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drug, drug product and other components of our products and product candidates are currently acquired from certain single-source suppliers. The loss of these suppliers, or their failure to supply could materially and adversely affect our business.</w:t>
      </w:r>
    </w:p>
    <w:p>
      <w:pPr>
        <w:spacing w:after="0" w:line="4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 and these variations may be difficult to predict.</w:t>
      </w:r>
    </w:p>
    <w:p>
      <w:pPr>
        <w:spacing w:after="0" w:line="88" w:lineRule="exact"/>
        <w:rPr>
          <w:rFonts w:ascii="Times New Roman" w:cs="Times New Roman" w:eastAsia="Times New Roman" w:hAnsi="Times New Roman"/>
          <w:sz w:val="18"/>
          <w:szCs w:val="18"/>
          <w:color w:val="auto"/>
        </w:rPr>
      </w:pPr>
    </w:p>
    <w:p>
      <w:pPr>
        <w:ind w:left="520" w:right="6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(“FDA”), the European Medicines Agency and comparable authorities are lengthy, time consuming, and inherently unpredictable. If we are ultimately unable to obtain regulatory approval for our product candidates, our business will be substantially harmed.</w:t>
      </w:r>
    </w:p>
    <w:p>
      <w:pPr>
        <w:spacing w:after="0" w:line="54" w:lineRule="exact"/>
        <w:rPr>
          <w:rFonts w:ascii="Times New Roman" w:cs="Times New Roman" w:eastAsia="Times New Roman" w:hAnsi="Times New Roman"/>
          <w:sz w:val="18"/>
          <w:szCs w:val="18"/>
          <w:color w:val="auto"/>
        </w:rPr>
      </w:pPr>
    </w:p>
    <w:p>
      <w:pPr>
        <w:ind w:left="520" w:right="20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adequate coverage and reimbursement for our product candidates could limit our ability to market those products and decrease our ability to generate revenue.</w:t>
      </w:r>
    </w:p>
    <w:p>
      <w:pPr>
        <w:spacing w:after="0" w:line="41" w:lineRule="exact"/>
        <w:rPr>
          <w:rFonts w:ascii="Times New Roman" w:cs="Times New Roman" w:eastAsia="Times New Roman" w:hAnsi="Times New Roman"/>
          <w:sz w:val="18"/>
          <w:szCs w:val="18"/>
          <w:color w:val="auto"/>
        </w:rPr>
      </w:pPr>
    </w:p>
    <w:p>
      <w:pPr>
        <w:ind w:left="520" w:right="10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allegedly infringing intellectual property rights of third parties, it will be costly and time consuming, and an unfavorable outcome in such litigation could harm our business.</w:t>
      </w:r>
    </w:p>
    <w:p>
      <w:pPr>
        <w:spacing w:after="0" w:line="28" w:lineRule="exact"/>
        <w:rPr>
          <w:rFonts w:ascii="Times New Roman" w:cs="Times New Roman" w:eastAsia="Times New Roman" w:hAnsi="Times New Roman"/>
          <w:sz w:val="18"/>
          <w:szCs w:val="18"/>
          <w:color w:val="auto"/>
        </w:rPr>
      </w:pPr>
    </w:p>
    <w:p>
      <w:pPr>
        <w:ind w:left="520" w:right="14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geopolitical conflicts, such as the military conflict between Russia and Ukraine and the ongoing conflict between Israel and Hamas could materially adversely impact our business, including our clinical trials, supply chain operation, regulatory timelines and commercial activities.</w:t>
      </w:r>
    </w:p>
    <w:p>
      <w:pPr>
        <w:spacing w:after="0" w:line="54" w:lineRule="exact"/>
        <w:rPr>
          <w:rFonts w:ascii="Times New Roman" w:cs="Times New Roman" w:eastAsia="Times New Roman" w:hAnsi="Times New Roman"/>
          <w:sz w:val="18"/>
          <w:szCs w:val="18"/>
          <w:color w:val="auto"/>
        </w:rPr>
      </w:pPr>
    </w:p>
    <w:p>
      <w:pPr>
        <w:ind w:left="520" w:right="10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pandemics could materially adversely impact our business, including our clinical trials, supply chain operation, regulatory timelines and commercial activities.</w:t>
      </w:r>
    </w:p>
    <w:p>
      <w:pPr>
        <w:spacing w:after="0" w:line="16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20-F,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1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faces significant risks. You should carefully consider all of the information set forth in this annual report and in our other filings with the SEC, including the following risk factors which we face and which are faced by our industry. Our business, financial condition or results of operations could be materially adversely affected by any of these risks. This annual report also contains forward-looking statements that involve risks and uncertainties. Our results could materially differ from those anticipated in these forward-looking statements, as a result of certain factors including the risks described below and elsewhere in this annual report and our other materials we file or furnish with the SEC. See “Special Note Regarding Forward-Looking Statements”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we may incur significant losses in the future, which makes it difficult to assess our future viability.</w:t>
      </w:r>
    </w:p>
    <w:p>
      <w:pPr>
        <w:spacing w:after="0" w:line="12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We are applying our innovative TransCon technology platform to build a leading, fully integrated biopharma company focused on making a meaningful difference in patients’ lives. Guided by our core values of patients, science, and passion, we use our TransCon technologies to create new and potentially best-in-class therapies. We currently have a pipeline of multiple independent endocrinology rare disease, and oncology candidates in development. We are also working to apply our TransCon technology platform in additional therapeutic areas to address unmet medical needs. On August 25, 2021, the FDA approved TransCon hGH, known by its brand name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its international nonproprietary name lonapegsomatropin-tcgd in the U.S. for the treatment of pediatric patients one year and older who weigh at least 11.5 kg (25.4 lb) and have growth failure due to inadequate secretion of endogenous growth hormone. SKYTROFA (lonapegsomatropin), developed under the name TransCon hGH, was granted marketing authorisation by the EC as a once-weekly subcutaneous injection for the treatment of children and adolescents ages 3 to 18 years with growth failure due to insufficient secretion of endogenous growth hormone on January 11, 2022. In addition, in November 2023, the European Commission (“EC”) granted marketing authorisation to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(palopegteriparatide), previously developed as TransCon PTH, as a replacement therapy indicated for the treatment of adults with chronic hypoparathyroidism.</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790" w:right="3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To date, we have focused substantially all of our efforts on our research and development activities relating to our products, SKYTROFA and YORVIPATH and our product candidates TransCon hGH, TransCon PTH (palopegteriparatide), TransCon C-Type Natriuretic Peptide (“TransCon CNP”), our product candidates in oncology and our proprietary TransCon technologies. We have also focused significant efforts on the commercialization of TransCon hGH and in planning for the commercialization of TransCon PTH in the European Union (“EU”), as well as in the United States, if approved. We have a limited operating history upon which our shareholders and ADS holders can evaluate our business and prospects. Going forward, we may incur significant losses from our operations. We had a net loss of €481.4 million for the year ended December 31, 2023 and a net loss of €583.2 million for the year ended December 31, 2022. Our total equity was negative by €145.7 million as of December 31, 2023 compared to a positive balance of €263.3 million as of December 31, 2022. Neither the net loss nor net profit we have experienced in prior years are necessarily indicative of our future results.</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Apart from the FDA’s approval of SKYTROFA, and the EC’s approval of SKYTROFA and YORVIPATH, none of our other product candidates have been approved for commercial sale by the FDA, the EC or similar non-U.S. regulatory authorities. On April 28, 2023 the FDA issued a complete response letter (“CRL”) in response to our New Drug Application (“NDA”) for use of TransCon PTH in adult patients with hypoparathyroidism. In the CRL, the FDA cited concerns related to the manufacturing control strategy for variability of delivered dose in the TransCon PTH drug/device combination product. On November 14, 2023 we resubmitted our NDA for TransCon PTH and the FDA has set a Prescription Drug User Fee Act (“PDUFA”) target action date of May 14, 2024 to review the application. Our annual operating expenses may increase over the next several years as we expand our research and development efforts and incur additional commercialization expenses, including those related to the commercialization of TransCon PTH. Although we have begun to receive revenue from commercial product sales, we may incur substantial operating losses for the foreseeable future as we execute our operating plan.</w:t>
      </w:r>
    </w:p>
    <w:p>
      <w:pPr>
        <w:spacing w:after="0" w:line="189"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revenue from commercial product sales and rely significantly on our TransCon technologies and TransCon product candidates.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limited revenue from commercial product sales of SKYTROFA in the U.S. and the EU. We are yet to commercially launch YORVIPATH in the EU outside of Germany and Austria. Our ability to generate revenue will continue to depend significantly on our ability to successfully commercialize SKYTROFA in the U.S., to successfully launch and commercialize SKYTROFA and YORVIPATH in the EU, to successfully launch and commercialize TransCon PTH in the U.S., if approved, to complete the research and development of our other product candidates and obtain the regulatory and marketing approvals necessary to commercialize such product candidates. Our ability to generate additional revenue from commercial product sales or pursuant to milestone payments or royalties from collaboration partners depends heavily on many factors, including but not limited to:</w:t>
      </w:r>
    </w:p>
    <w:p>
      <w:pPr>
        <w:spacing w:after="0" w:line="80"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preclinical and clinical development of our product candidates;</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8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regulatory approvals and pricing and reimbursement approvals for our products and product candidates on our own, or together with our strategic collaboration partners;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of and entering into collaboration, licensing or other arrangements;</w:t>
      </w:r>
    </w:p>
    <w:p>
      <w:pPr>
        <w:spacing w:after="0" w:line="115" w:lineRule="exact"/>
        <w:rPr>
          <w:rFonts w:ascii="Times New Roman" w:cs="Times New Roman" w:eastAsia="Times New Roman" w:hAnsi="Times New Roman"/>
          <w:sz w:val="18"/>
          <w:szCs w:val="18"/>
          <w:color w:val="auto"/>
        </w:rPr>
      </w:pPr>
    </w:p>
    <w:p>
      <w:pPr>
        <w:ind w:left="1020" w:right="200" w:hanging="504"/>
        <w:spacing w:after="0" w:line="28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or co-promote, and/or the ability of our collaboration partners to successfully commercialize, our products and product candidates;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sustaining a scalable manufacturing process for our products and product candidates, if approved;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products and product candidates, if approved, as viable treatment options;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8" w:name="page9"/>
    <w:bookmarkEnd w:id="8"/>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in-licensing and/or developing new product candidates;</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w:t>
      </w:r>
    </w:p>
    <w:p>
      <w:pPr>
        <w:spacing w:after="0" w:line="67" w:lineRule="exact"/>
        <w:rPr>
          <w:rFonts w:ascii="Times New Roman" w:cs="Times New Roman" w:eastAsia="Times New Roman" w:hAnsi="Times New Roman"/>
          <w:sz w:val="18"/>
          <w:szCs w:val="18"/>
          <w:color w:val="auto"/>
        </w:rPr>
      </w:pPr>
    </w:p>
    <w:p>
      <w:pPr>
        <w:ind w:left="1020" w:right="160" w:hanging="504"/>
        <w:spacing w:after="0" w:line="28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avoid, and possibly recover from severe cyber attack(s) with impact on our intellectual property, e.g., data breach and ransomware attacks;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approvals to market one or more of our product candidates (such as the approvals we have obtained for TransCon hGH and TransCon PTH),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 candidates, even if approved. Limitations on our ability to generate revenue from commercial product sales or pursuant to up-front or milestone payments and royalties from collaboration partners would likely depress our market value and could impair our ability to raise capital, expand our business, discover or develop other product candidates or continue our operations.</w:t>
      </w:r>
    </w:p>
    <w:p>
      <w:pPr>
        <w:spacing w:after="0" w:line="292"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seek additional financing to achieve our goals, and a failure to obtain this capital if needed on acceptable terms, or at all, could force us to delay, limit, scale back or cease our commercialization activities, product development or any other or all operations.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our research and development and commercialization activities. We have funded our operations primarily through issuance of preference shares, our ordinary shares and convertible debt securities, royalty arrangements with third parties, and payments to us under collaboration agreements. For example, in March 2022, we received $557.9 million (€503.3 million) in net proceeds from an offering of convertible senior notes due 2028 after deducting the initial purchasers’ discounts and commissions and estimated transaction costs. As of December 31, 2023, we had cash, cash equivalents and marketable securities totaling €399.4 million. We believe that we will continue to expend substantial resources for the foreseeable future, including costs associated with research and development and commercialization activities. The Company maintains the majority of its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2023 will be sufficient to meet our projected cash requirements for at least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75" w:lineRule="exact"/>
        <w:rPr>
          <w:sz w:val="20"/>
          <w:szCs w:val="20"/>
          <w:color w:val="auto"/>
        </w:rPr>
      </w:pPr>
    </w:p>
    <w:p>
      <w:pPr>
        <w:ind w:left="1020" w:right="500" w:hanging="504"/>
        <w:spacing w:after="0" w:line="28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our products and product candidates, if approved, including the cost and timing of building our sales and marketing capabilities;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TransCon hGH, TransCon PTH and any future products;</w:t>
      </w:r>
    </w:p>
    <w:p>
      <w:pPr>
        <w:spacing w:after="0" w:line="115" w:lineRule="exact"/>
        <w:rPr>
          <w:rFonts w:ascii="Times New Roman" w:cs="Times New Roman" w:eastAsia="Times New Roman" w:hAnsi="Times New Roman"/>
          <w:sz w:val="18"/>
          <w:szCs w:val="18"/>
          <w:color w:val="auto"/>
        </w:rPr>
      </w:pPr>
    </w:p>
    <w:p>
      <w:pPr>
        <w:ind w:left="5580" w:right="120" w:hanging="5064"/>
        <w:spacing w:after="0" w:line="280" w:lineRule="auto"/>
        <w:tabs>
          <w:tab w:leader="none" w:pos="10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products and product candidates, if approved;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9" w:name="page10"/>
    <w:bookmarkEnd w:id="9"/>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5" w:lineRule="exact"/>
        <w:rPr>
          <w:rFonts w:ascii="Times New Roman" w:cs="Times New Roman" w:eastAsia="Times New Roman" w:hAnsi="Times New Roman"/>
          <w:sz w:val="18"/>
          <w:szCs w:val="18"/>
          <w:color w:val="auto"/>
        </w:rPr>
      </w:pPr>
    </w:p>
    <w:p>
      <w:pPr>
        <w:ind w:left="1020" w:right="48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55" w:lineRule="exact"/>
        <w:rPr>
          <w:rFonts w:ascii="Times New Roman" w:cs="Times New Roman" w:eastAsia="Times New Roman" w:hAnsi="Times New Roman"/>
          <w:sz w:val="18"/>
          <w:szCs w:val="18"/>
          <w:color w:val="auto"/>
        </w:rPr>
      </w:pPr>
    </w:p>
    <w:p>
      <w:pPr>
        <w:ind w:left="1020" w:right="64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and manufacturing activities for our product candidates, including the ability to enroll patients in a timely manner for clinical trials;</w:t>
      </w:r>
    </w:p>
    <w:p>
      <w:pPr>
        <w:spacing w:after="0" w:line="5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and the costs of post-marketing studies that could be required by regulatory authorities;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platform;</w:t>
      </w:r>
    </w:p>
    <w:p>
      <w:pPr>
        <w:spacing w:after="0" w:line="115" w:lineRule="exact"/>
        <w:rPr>
          <w:rFonts w:ascii="Times New Roman" w:cs="Times New Roman" w:eastAsia="Times New Roman" w:hAnsi="Times New Roman"/>
          <w:sz w:val="18"/>
          <w:szCs w:val="18"/>
          <w:color w:val="auto"/>
        </w:rPr>
      </w:pPr>
    </w:p>
    <w:p>
      <w:pPr>
        <w:ind w:left="1020" w:right="62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5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5" w:lineRule="exact"/>
        <w:rPr>
          <w:rFonts w:ascii="Times New Roman" w:cs="Times New Roman" w:eastAsia="Times New Roman" w:hAnsi="Times New Roman"/>
          <w:sz w:val="18"/>
          <w:szCs w:val="18"/>
          <w:color w:val="auto"/>
        </w:rPr>
      </w:pPr>
    </w:p>
    <w:p>
      <w:pPr>
        <w:ind w:left="1020" w:right="52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and our ability to obtain market acceptance of our products and product candidates, if approved;</w:t>
      </w:r>
    </w:p>
    <w:p>
      <w:pPr>
        <w:spacing w:after="0" w:line="55"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purchase ADSs prior to granting rights or awards for such shares under our equity incentive plans.</w:t>
      </w:r>
    </w:p>
    <w:p>
      <w:pPr>
        <w:spacing w:after="0" w:line="2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Furthermore, uncertainty about the interest rate environment and rising interest rates, may make it more difficult, costly or dilutive for us to secure additional financing, which may have a negative impact on earnings and cash flow.</w:t>
      </w:r>
    </w:p>
    <w:p>
      <w:pPr>
        <w:spacing w:after="0" w:line="28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of shares or ADSs, restrict our operations or require us to relinquish rights to our products or product candidates on unfavorable terms to us.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or royalty arrangements with third parties. To the extent that we raise additional capital through the issuance of convertible debt or equity securities, the ownership interest of our shareholders and ADS holders would be diluted, and the terms 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third-parties, we may have to relinquish valuable rights to our products or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71" w:right="399" w:bottom="1440" w:gutter="0" w:footer="0" w:header="0"/>
        </w:sectPr>
      </w:pPr>
    </w:p>
    <w:bookmarkStart w:id="10" w:name="page11"/>
    <w:bookmarkEnd w:id="10"/>
    <w:p>
      <w:pPr>
        <w:spacing w:after="0" w:line="265" w:lineRule="auto"/>
        <w:rPr>
          <w:sz w:val="20"/>
          <w:szCs w:val="20"/>
          <w:color w:val="auto"/>
        </w:rPr>
      </w:pPr>
      <w:r>
        <w:rPr>
          <w:rFonts w:ascii="Times New Roman" w:cs="Times New Roman" w:eastAsia="Times New Roman" w:hAnsi="Times New Roman"/>
          <w:sz w:val="18"/>
          <w:szCs w:val="18"/>
          <w:color w:val="auto"/>
        </w:rPr>
        <w:t>For example, in September 2023, we entered into a $150.0 million capped synthetic royalty funding agreement (the “Royalty Pharma Agreement”) with Royalty Pharma. Under the terms of the Royalty Pharma Agreement, we received an upfront payment of $150.0 million in exchange for a 9.15% royalty on net U.S. SKYTROFA revenue.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6"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product candidates, which may not be successful in nonclinical studies or clinical trials, receive regulatory approval or be successfully commercialized.</w:t>
      </w:r>
    </w:p>
    <w:p>
      <w:pPr>
        <w:spacing w:after="0" w:line="5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To date, we have invested a significant amount of our efforts and financial resources in research and development, including with respect to our proprietary TransCon technologies, and in commercialization activities. Our near-term prospects, including the extent of revenue from commercial product sales, will depend heavily on our successful development and commercialization of our products and product candidates, if approved. The clinical and commercial success of our products and product candidates and our TransCon technologies will depend on a number of factors, including the following:</w:t>
      </w:r>
    </w:p>
    <w:p>
      <w:pPr>
        <w:spacing w:after="0" w:line="60"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successful execution of our ongoing and planned clinical trials of our products and product candidates;</w:t>
      </w:r>
    </w:p>
    <w:p>
      <w:pPr>
        <w:spacing w:after="0" w:line="115" w:lineRule="exact"/>
        <w:rPr>
          <w:rFonts w:ascii="Times New Roman" w:cs="Times New Roman" w:eastAsia="Times New Roman" w:hAnsi="Times New Roman"/>
          <w:sz w:val="18"/>
          <w:szCs w:val="18"/>
          <w:color w:val="auto"/>
        </w:rPr>
      </w:pPr>
    </w:p>
    <w:p>
      <w:pPr>
        <w:ind w:left="1020" w:right="48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to establish and maintain commercial-scale manufacturing processes for our products, product candidates and device components;</w:t>
      </w:r>
    </w:p>
    <w:p>
      <w:pPr>
        <w:spacing w:after="0" w:line="5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safety, purity, potency, tolerability and/or efficacy profiles will be satisfactory to the European Medicines Agency (“EMA”), the FDA and similar regulatory authorities to warrant marketing approval;</w:t>
      </w:r>
    </w:p>
    <w:p>
      <w:pPr>
        <w:spacing w:after="0" w:line="55" w:lineRule="exact"/>
        <w:rPr>
          <w:rFonts w:ascii="Times New Roman" w:cs="Times New Roman" w:eastAsia="Times New Roman" w:hAnsi="Times New Roman"/>
          <w:sz w:val="18"/>
          <w:szCs w:val="18"/>
          <w:color w:val="auto"/>
        </w:rPr>
      </w:pPr>
    </w:p>
    <w:p>
      <w:pPr>
        <w:ind w:left="1020" w:right="38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EMA, the FDA or similar regulatory authorities will require additional clinical trials prior to approving or issuing a positive opinion in order for our product candidates to be authorized, if ever;</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approve our resubmitted NDA for TransCon PTH;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our products and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adverse events that implicate the TransCon technologies, including among any out-licensed product candidates;</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authorizations or certifications for our product candidates and associated device components from the FDA, similar regulatory authorities and notified bodies;</w:t>
      </w:r>
    </w:p>
    <w:p>
      <w:pPr>
        <w:spacing w:after="0" w:line="55"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to successfully commercialize our products or product candidates, if approved for marketing and sale by the FDA, the EC or similar regulatory authorities, including educating physicians and patients about the benefits, administration and use of such products;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 acceptance of our products or product candidates, if approved, including by patients and the medical community;</w:t>
      </w:r>
    </w:p>
    <w:p>
      <w:pPr>
        <w:spacing w:after="0" w:line="115" w:lineRule="exact"/>
        <w:rPr>
          <w:rFonts w:ascii="Times New Roman" w:cs="Times New Roman" w:eastAsia="Times New Roman" w:hAnsi="Times New Roman"/>
          <w:sz w:val="18"/>
          <w:szCs w:val="18"/>
          <w:color w:val="auto"/>
        </w:rPr>
      </w:pPr>
    </w:p>
    <w:p>
      <w:pPr>
        <w:ind w:left="1020" w:right="4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 acceptance of the device components of our combination products, and of our combination product candidates, if approved, including by patients and the medical community;</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our products and product candidates by third-party payors;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11" w:name="page12"/>
    <w:bookmarkEnd w:id="11"/>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and any collaboration partners’ marketing, sales and distribution strategies and operations;</w:t>
      </w:r>
    </w:p>
    <w:p>
      <w:pPr>
        <w:spacing w:after="0" w:line="115" w:lineRule="exact"/>
        <w:rPr>
          <w:rFonts w:ascii="Times New Roman" w:cs="Times New Roman" w:eastAsia="Times New Roman" w:hAnsi="Times New Roman"/>
          <w:sz w:val="18"/>
          <w:szCs w:val="18"/>
          <w:color w:val="auto"/>
        </w:rPr>
      </w:pPr>
    </w:p>
    <w:p>
      <w:pPr>
        <w:jc w:val="both"/>
        <w:ind w:left="1020" w:right="20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or any third-party manufacturer we contract with, to manufacture supplies of our products and product candidates and to develop, validate and maintain commercially viable manufacturing processes that are compliant with current good manufacturing practice (“cGMP”), or similar requirements;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intellectual property rights in and to our products and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profiles of our products and product candidates following any potential approval.</w:t>
      </w:r>
    </w:p>
    <w:p>
      <w:pPr>
        <w:spacing w:after="0" w:line="223"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color w:val="auto"/>
        </w:rPr>
        <w:t>Many of these factors are beyond our control, including clinical development, the regulatory submission process, potential threats to our intellectual property rights and the manufacturing, marketing and sales efforts of any collaboration partners.</w:t>
      </w:r>
    </w:p>
    <w:p>
      <w:pPr>
        <w:spacing w:after="0" w:line="16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We cannot be certain that we will be able to successfully commercialize any of our products or that such products will be approved in other jurisdictions, and we cannot be certain that any of our product candidates will ever be approved or successfully commercialized, or that we will ever generate revenue from sales of such product candidates. If we are not successful in completing the development of, obtaining approval for, and commercializing our product candidates, or are significantly delayed in doing so, our business will be harmed.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marketing efforts may not be effective and we may not be successful in our commercial efforts.</w:t>
      </w:r>
    </w:p>
    <w:p>
      <w:pPr>
        <w:spacing w:after="0" w:line="12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Prior to launching our commercial sales in 2021, as a company we had no prior experience commercializing approved products. The success of our commercialization efforts is difficult to predict and subject to the effective execution of our business plan, including, among others, the continued development of our internal sales, marketing, and distribution capabilities and our ability to navigate the significant expenses and risks involved with the development and management of such capabilities. For example, our planned commercial launch of TransCon PTH in the EU, and, if approved, in the United States, may not develop as planned or anticipated, which may require us to, among others, adjust or amend our business plan and incur significant expenses. Further, given our limited experience commercializing products, we do not have a long track record of successfully executing commercial launches. If we are unsuccessful in accomplishing our objectives and executing on our business plan, or if our commercialization efforts do not develop as planned, we may not be able to successfully commercialize our approved products and any future approved products, we may require significant additional capital and financial resources, we may not become profitable, and we may not be able to compete against more established companies in our industry.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which may affect the success of our commercialization efforts include, but are not limited to:</w:t>
      </w:r>
    </w:p>
    <w:p>
      <w:pPr>
        <w:spacing w:after="0" w:line="116" w:lineRule="exact"/>
        <w:rPr>
          <w:sz w:val="20"/>
          <w:szCs w:val="20"/>
          <w:color w:val="auto"/>
        </w:rPr>
      </w:pPr>
    </w:p>
    <w:p>
      <w:pPr>
        <w:ind w:left="1020" w:right="840" w:hanging="504"/>
        <w:spacing w:after="0" w:line="28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required and qualified sales and marketing personnel, including in connection with any specialty sales organization for specific products or product candidates, if approved;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sufficient training to develop and strengthen the technical expertise of our sales and marketing personnel;</w:t>
      </w:r>
    </w:p>
    <w:p>
      <w:pPr>
        <w:spacing w:after="0" w:line="115" w:lineRule="exact"/>
        <w:rPr>
          <w:rFonts w:ascii="Times New Roman" w:cs="Times New Roman" w:eastAsia="Times New Roman" w:hAnsi="Times New Roman"/>
          <w:sz w:val="18"/>
          <w:szCs w:val="18"/>
          <w:color w:val="auto"/>
        </w:rPr>
      </w:pPr>
    </w:p>
    <w:p>
      <w:pPr>
        <w:ind w:left="1020" w:right="720" w:hanging="504"/>
        <w:spacing w:after="0" w:line="28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required support materials and resources to our sales personnel to help them educate physicians and healthcare providers regarding our products, including the proper administration of our products;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resources to meet and timely fulfill supply obligations to our customers.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2" w:name="page13"/>
    <w:bookmarkEnd w:id="12"/>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we or any collaboration partners may be required to build and/or maintain marketing, sales, distribution, managerial and other non-technical capabilities or make arrangements with third-parties to perform these services, and we or any collaboration partners may not be successful in doing so. In the future, we may enter into arrangements with third-parties to market and sell our products and product candidates, if approved, in one or multiple geographies. However, we may not be able to enter into such arrangements with others on acceptable terms, or at all. To the extent that we enter into such arrangements with other companies, our revenues, if any, will depend on the terms of any such arrangements and the efforts of others. These efforts may turn out not to be sufficient.</w:t>
      </w:r>
    </w:p>
    <w:p>
      <w:pPr>
        <w:spacing w:after="0" w:line="291"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acceptance and commercial success of our products and product candidates, if approved, will depend, in part, upon the degree of acceptance among physicians, patients, patient advocacy groups, third-party payors and the medical community.</w:t>
      </w:r>
    </w:p>
    <w:p>
      <w:pPr>
        <w:spacing w:after="0" w:line="5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Even after obtaining FDA or other regulatory approvals, our products and product candidates, if approved, may not achieve significant market acceptance among physicians, patients, patient advocacy groups, third-party payors and the medical community. The degree of market acceptance, if any, for our products for which marketing approval is obtained will depend on a number of factors, including:</w:t>
      </w:r>
    </w:p>
    <w:p>
      <w:pPr>
        <w:spacing w:after="0" w:line="68"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and/or efficacy of the products as demonstrated in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overall safety profile of the product;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safety of the TransCon technologies;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features of the auto-injector or drug delivery device used to administer the drug;</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of, and acceptance by, physicians, major operators of clinics and patients of the product as a safe and effective treatment and their willingness to pay for them;</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products;</w:t>
      </w:r>
    </w:p>
    <w:p>
      <w:pPr>
        <w:spacing w:after="0" w:line="11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products over current treatment options or alternative treatments, including future alternative treatments;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supply of our products and their ability to meet market demand;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our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relationships with patient advocacy groups;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of government and other commercial and third-party payors.</w:t>
      </w:r>
    </w:p>
    <w:p>
      <w:pPr>
        <w:spacing w:after="0" w:line="2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If our products or product candidates that obtain regulatory approval do not achieve significant market acceptance or commercial success, this could harm our business, results of operations and prospects, and the value of our shares or ADSs.</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579" w:right="519" w:bottom="1440" w:gutter="0" w:footer="0" w:header="0"/>
        </w:sectPr>
      </w:pPr>
    </w:p>
    <w:bookmarkStart w:id="13" w:name="page14"/>
    <w:bookmarkEnd w:id="13"/>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products and product candidates, if approved,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plan is based in part on our estimated addressable markets and market opportunities for our products and product candidates, if approved, which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Such estimates, whether obtained or derived from third-party sources or developed internally, are subject to significant uncertainty and are based on assumptions and estimates that may not prove to be accurate. While we believe the market opportunity estimates underlying our business plan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29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must conduct extensive clinical studies to demonstrate the safety, purity, potency and/or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18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68"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preclinical, toxicology, or other in vivo or in vitro data to support the initiation or continuation of clinical trials;</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8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consensus with regulatory authorities on study design or implementation of the clinical trials and/or obtain regulatory authorization to commence a trial;</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(“CROs”) and clinical trial sites, the terms of which can be subject to extensive negotiation and may vary significantly among different CROs and trial sites;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train suitable clinical investigators;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(“IRB”) or ethics committee approval at each site;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test, release, validate or import sufficient quantities of drug product for use in a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screen and enroll suitable patients to participate in a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patients complete a trial or return for post-treatment follow-up;</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clinical sites observe trial protocol or continue to participate in a trial;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 w:name="page15"/>
    <w:bookmarkEnd w:id="14"/>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with new or existing laws or regulations;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w:t>
      </w:r>
    </w:p>
    <w:p>
      <w:pPr>
        <w:spacing w:after="0" w:line="22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for a product candidate, by the IRBs of the institutions in which such trials are being conducted, by an independent data safety monitoring board, for such trial or by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we are conducting, and plan to conduct, clinical trials in sites outside of the United States.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 or the FDA may determine that the clinical trial results obtained in foreign subjects do not establish the safety, purity, potency and/or efficacy of a product candidate when administered in EU or U.S. patients, and are thus not supportive of approval of a marketing authorisation application (“MAA”) in the EU or of an NDA, or Biologics License Application (“BLA”), in the United States. As a result, the EMA or the FDA may not accept data from clinical trials conducted outside the EU or the United States, respectively, and may require that we conduct additional clinical trials or obtain additional data before we can submit an NDA or BLA in the United States or a MAA in the EU. The EMA or the FDA may even require us to conduct additional clinical trials in the EU or the United States, respectively, before we are able submit an NDA, BLA, MAA or other marketing application for any of our product candidates.</w:t>
      </w:r>
    </w:p>
    <w:p>
      <w:pPr>
        <w:spacing w:after="0" w:line="186"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commercial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commercial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5" w:name="page16"/>
    <w:bookmarkEnd w:id="15"/>
    <w:p>
      <w:pPr>
        <w:spacing w:after="0" w:line="251"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(“EU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EU CTR introduces a centralized process and only requires the submission of a single application for multi-center trials. The EU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IT portal. Once the CTA is approved, clinical study development may proceed. The extent to which ongoing and new clinical trials will be governed by the EU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EU CTR. Compliance with the EU CTR requirements by us and our third-party service providers, such as CROs, may impact our development plans.</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United Kingdom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with specific aims to streamline clinical trials approvals, enable innovation, enhance clinical trials transparency, enable greater risk proportionality, and promote patient and public involvement in clinical trials. The MHRA published its consultation outcome on March 21, 2023 in which it confirmed that it would update the existing legislation. The resulting legislative changes will ultimately determine the extent to which the UK regulations align with the EU CTR. Under the terms of the Protocol on Ireland/Northern Ireland, provisions of the EU CTR which relate to the manufacture and import of investigational medicinal products and auxiliary medicinal products apply in Northern Ireland. A decision by the UK not to closely align its regulations with the new approach adopted in the EU may have an effect on the cost of conducting clinical trials in the UK as opposed to other countries and/or make it harder to seek a marketing authorisation in the EU for our product candidates on the basis of clinical trials conducted in the UK.</w:t>
      </w:r>
    </w:p>
    <w:p>
      <w:pPr>
        <w:spacing w:after="0" w:line="186" w:lineRule="exact"/>
        <w:rPr>
          <w:sz w:val="20"/>
          <w:szCs w:val="20"/>
          <w:color w:val="auto"/>
        </w:rPr>
      </w:pPr>
    </w:p>
    <w:p>
      <w:pPr>
        <w:ind w:right="760"/>
        <w:spacing w:after="0" w:line="280"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adversely impacted.</w:t>
      </w:r>
    </w:p>
    <w:p>
      <w:pPr>
        <w:spacing w:after="0" w:line="266"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in various stages of preclinical development and we may not be successful in our efforts to successfully develop these products or expand our pipeline of product candidates.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key element of our strategy is to expand our pipeline of product candidates utilizing our proprietary TransCon technologies, and to advance such product candidates through clinical development. Certain of our product candidates are in preclinical development and may require significant time and additional research and development before we can submit INDs or equivalent foreign regulatory applications to regulatory authorities to begin clinical studies. Of the large number of drugs and biologics in development, only a small percentage of such drugs successfully complete the EMA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6" w:name="page17"/>
    <w:bookmarkEnd w:id="16"/>
    <w:p>
      <w:pPr>
        <w:ind w:right="60"/>
        <w:spacing w:after="0" w:line="259" w:lineRule="auto"/>
        <w:rPr>
          <w:sz w:val="20"/>
          <w:szCs w:val="20"/>
          <w:color w:val="auto"/>
        </w:rPr>
      </w:pPr>
      <w:r>
        <w:rPr>
          <w:rFonts w:ascii="Times New Roman" w:cs="Times New Roman" w:eastAsia="Times New Roman" w:hAnsi="Times New Roman"/>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pure, potent and/or effective. Our research programs may initially show promise in identifying potential product candidates, yet fail to yield product candidates for clinical development or commercialization for many reasons, including the following:</w:t>
      </w:r>
    </w:p>
    <w:p>
      <w:pPr>
        <w:spacing w:after="0" w:line="75"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and our TransCon technologies may not be successful in creating potential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third-parties’ intellectual property rights or other types of exclusivity and we may not be able to obtain a license from such third-party or the license terms may not be acceptable to us;</w:t>
      </w:r>
    </w:p>
    <w:p>
      <w:pPr>
        <w:spacing w:after="0" w:line="55" w:lineRule="exact"/>
        <w:rPr>
          <w:rFonts w:ascii="Times New Roman" w:cs="Times New Roman" w:eastAsia="Times New Roman" w:hAnsi="Times New Roman"/>
          <w:sz w:val="18"/>
          <w:szCs w:val="18"/>
          <w:color w:val="auto"/>
        </w:rPr>
      </w:pPr>
    </w:p>
    <w:p>
      <w:pPr>
        <w:ind w:left="1020" w:right="6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a product candidate may change during our program or we may discover that such market opportunity was smaller than initially expected so that such a product may become financially unfeasible to continue to develop;</w:t>
      </w:r>
    </w:p>
    <w:p>
      <w:pPr>
        <w:spacing w:after="0" w:line="55" w:lineRule="exact"/>
        <w:rPr>
          <w:rFonts w:ascii="Times New Roman" w:cs="Times New Roman" w:eastAsia="Times New Roman" w:hAnsi="Times New Roman"/>
          <w:sz w:val="18"/>
          <w:szCs w:val="18"/>
          <w:color w:val="auto"/>
        </w:rPr>
      </w:pPr>
    </w:p>
    <w:p>
      <w:pPr>
        <w:ind w:left="1020" w:right="18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demonstrated to have harmful side effects or not to be effective, or otherwise not to meet other requirements for regulatory approval;</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or reimbursable by third-party payors, if applicable.</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Even if we are successful in continuing to expand our pipeline, through our own research and development efforts or by pursuing in-licensing or acquisition of product candidates, the potential product candidates that we identify or acquire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commercial product sales in future periods or achieve or sustain profitability.</w:t>
      </w:r>
    </w:p>
    <w:p>
      <w:pPr>
        <w:spacing w:after="0" w:line="287" w:lineRule="exact"/>
        <w:rPr>
          <w:sz w:val="20"/>
          <w:szCs w:val="20"/>
          <w:color w:val="auto"/>
        </w:rPr>
      </w:pPr>
    </w:p>
    <w:p>
      <w:pPr>
        <w:ind w:right="5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7" w:name="page18"/>
    <w:bookmarkEnd w:id="17"/>
    <w:p>
      <w:pPr>
        <w:ind w:right="4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2"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By expending our limited resources to pursue particular product candidates and areas of focus we may fail to capitalize on product candidates or areas of focus that are more profitable or for which there is a greater likelihood of success.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focused on research programs and product candidates within the endocrinology, oncology and ophthalmology therapeutic areas. As a result, we may forego or delay pursuit of opportunities with other product candidates or in other therapeutic areas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2"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studies and clinical trials. If these third-parties do not successfully carry out their contractual duties or meet expected deadlines, we may be unable to obtain regulatory approval for, or commercialize, our product candidates.</w:t>
      </w:r>
    </w:p>
    <w:p>
      <w:pPr>
        <w:spacing w:after="0" w:line="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do not currently have the ability to independently conduct clinical trials or IND-enabling nonclinical studies. We rely on medical institutions, clinical investigators, contract laboratories, collaboration partners and other third-parties, such as CROs, to conduct clinical trials of our products and product candidates. The third-parties with whom we contract for execution of our clinical trials play a significant role in the conduct of these trials and the subsequent collection and analysis of data. However, these third-parties are not our employees, and except for contractual duties and obligations, we control only certain aspects of their activities and have limited ability to control the amount or timing of resources that they devote to our programs. Although we rely on these third-parties to conduct our nonclinical studies and our clinical trials, we remain responsible for ensuring that each of our nonclinical studies and clinical trials is conducted in accordance with the applicable protocol, scientific standards and legal and regulatory requirements, and our reliance on third-parties does not relieve us of our regulatory responsibilities. We and these third-parties are required to comply with current good laboratory practices (“GLPs”), for certain nonclinical studies, and good clinical practices (“GCPs”), for clinical studies. GLPs and GCPs are regulations and guidelines enforced by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or similar foreign regulations outside the United States. The failure of our contract manufacturers to comply with these regulations may require us to repeat clinical trials, which would delay the regulatory approval process.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8" w:name="page19"/>
    <w:bookmarkEnd w:id="18"/>
    <w:p>
      <w:pPr>
        <w:ind w:right="10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any of our approved products or our product candidates could cause us or regulatory authorities to interrupt, delay or halt clinical trials and could result in a more restrictive label or the delay or denial of regulatory approval by the FDA or similar authorities. In the event that trials conducted by us or any collaboration partners, or trials we conduct with our product candidates, reveal a high and unacceptable severity and prevalence of side effects, such trials could be suspended or terminated and the FDA or similar regulatory authorities could order any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and it receives marketing approval,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Foreign regulatory authorities may require us to adopt similar risk management measures.</w:t>
      </w:r>
    </w:p>
    <w:p>
      <w:pPr>
        <w:spacing w:after="0" w:line="18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55"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required to recall the product;</w:t>
      </w:r>
    </w:p>
    <w:p>
      <w:pPr>
        <w:spacing w:after="0" w:line="115"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subject to fines, injunctions or the imposition of civil or criminal penalties;</w:t>
      </w:r>
    </w:p>
    <w:p>
      <w:pPr>
        <w:spacing w:after="0" w:line="115" w:lineRule="exact"/>
        <w:rPr>
          <w:rFonts w:ascii="Times New Roman" w:cs="Times New Roman" w:eastAsia="Times New Roman" w:hAnsi="Times New Roman"/>
          <w:sz w:val="18"/>
          <w:szCs w:val="18"/>
          <w:color w:val="auto"/>
        </w:rPr>
      </w:pPr>
    </w:p>
    <w:p>
      <w:pPr>
        <w:ind w:left="1020" w:right="480" w:hanging="504"/>
        <w:spacing w:after="0" w:line="28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For example, a number of adverse reactions have been reported among users of daily somatropin, and we may observe and be required to report similar adverse reactions for users of SKYTROFA. This reporting may result in Dear Healthcare Provider letters or other communications containing warnings or other safety information about the product.</w:t>
      </w:r>
    </w:p>
    <w:p>
      <w:pPr>
        <w:spacing w:after="0" w:line="17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Any of the foregoing events could prevent us, or any collaboration partners, from achieving or maintaining market acceptance of our products or product candidates, if approved, and could result in the loss of significant revenue to us, which would harm our results of operations and business.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9" w:name="page20"/>
    <w:bookmarkEnd w:id="19"/>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5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markets in which we intend to compete are undergoing, and are expected to continue to undergo, rapid and significant technological changes. Some of our products and product candidates are for fields in which competitive products already exist and are established. We expect competition to intensify as technological advances are made or new drugs and biotechnology products are introduced. New developments by competitors may render our products and current or future product candidates and/or technologies non-competitive, obsolete or not economical. Our competitors’ products may be more efficacious or marketed and sold more effectively than our products and product candidates.</w:t>
      </w:r>
    </w:p>
    <w:p>
      <w:pPr>
        <w:spacing w:after="0" w:line="18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We are aware of several pharmaceutical and biopharmaceutical companies that have commenced clinical studies of products or have successfully commercialized products addressing areas that we are targeting. A permanently PEGylated long-acting growth hormone (brand name Jintrolong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developed by GeneScience Pharmaceuticals Co., Ltd. is available in China and the Somatropin Biopartners product (LB03002), is available in Korea. Novo Nordisk has received regulatory approval of once-weekly somapacitan (brand name SOGROYA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replacement of endogenous growth hormone in adult patients with growth hormone deficiency (“GHD”) in the United States, Japan, Europe, Australia and Saudi Arabia and in pediatric patients with GHD in the United States, Japan, Europe, Canada, Brazil and Saudi Arabia. Pfizer (in collaboration with OPKO Health Inc.) has received regulatory approval of once-weekly somatrogon (brand name NGENLA) in 48 countries including the United States, EU, Canada, Australia, Japan, Taiwan, the United Arab Emirates and Brazil for pediatric GHD. Other experimental growth hormone therapies are in different stages of clinical development by various companies, including Genexine Inc., I-MAB, and JCR Pharmaceuticals Co., Ltd. In addition, Takeda owns the rights to parathyroid hormone (brand name NATPARA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treatment for hypoparathyroidism. Parathyroid hormone was voluntarily recalled in September 2019 in the U.S. and is now only available to a limited number of patients through a Special Use Program offered by its manufacturer, Takeda. In October 2022, Takeda announced manufacturing of all strengths of NATPARA will be discontinued globally by the end of 2024. In addition, we are aware of several academic groups and companies working on making longer-acting agonists of the PTH receptor, or PTH1R. Other companies and groups are developing or commercializing therapies for hypoparathyroidism, including Calcilytix (a BridgeBio company), Entera Bio, Extend Biosciences, Massachusetts General Hospital, Amolyt Pharma, and MBX Biosciences. Other companies are developing therapies for achondroplasia, including BioMarin Pharmaceutical, Inc., and QED Therapeutics (a BridgeBio company). BioMarin Pharmaceutical, Inc. has received regulatory approval for vosoritide (brand name VOXZOGO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38 active markets including the United States, EU, Australia, Brazil and Japan for the treatment of achondroplasia. Tyra Biosciences, Sanofi, ProLynx Inc. and Ribomic Inc, have achondroplasia programs in various clinical stages.</w:t>
      </w:r>
    </w:p>
    <w:p>
      <w:pPr>
        <w:spacing w:after="0" w:line="20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Other companies are developing toll like receptor agonists for cancer immunotherapy including: Seven and Eight Biopharmaceuticals Inc., Regeneron Pharmaceuticals Inc., Bolt Therapeutics, Inc., Surge Therapeutics Inc., Canwell Biotech Ltd., BioNTech SE and Tallac Therapeutics Inc. Other companies have Interleukin 2 program under development for cancer immunotherapy including: Mural Oncology plc, Medicenna Therapeutics Corp., Anaveon AG, Xilio Therapeutics Inc, Werewolf Therapeutics Inc., Sutro Biopharma Inc. and Philogen SpA.</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product-based competition, our TransCon technologies face technology-based competition as we believe other companies are developing or evaluating enhanced drug delivery and sustained release technologies. In particular, we believe Nektar Therapeutics, OPKO Health, Inc., ProLynx Inc., MBX Biosciences and Serina Therapeutics, Inc. are developing technology platforms in the areas of enhanced drug delivery and/or reversible linkers that may be competitive with our TransCon technologies. We also expect that technological developments will occur at a rapid rate and that competition is likely to intensify as various enhanced delivery and sustained release technologies may achieve similar advantages.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20" w:name="page21"/>
    <w:bookmarkEnd w:id="20"/>
    <w:p>
      <w:pPr>
        <w:spacing w:after="0" w:line="244" w:lineRule="auto"/>
        <w:rPr>
          <w:sz w:val="20"/>
          <w:szCs w:val="20"/>
          <w:color w:val="auto"/>
        </w:rPr>
      </w:pPr>
      <w:r>
        <w:rPr>
          <w:rFonts w:ascii="Times New Roman" w:cs="Times New Roman" w:eastAsia="Times New Roman" w:hAnsi="Times New Roman"/>
          <w:sz w:val="18"/>
          <w:szCs w:val="18"/>
          <w:color w:val="auto"/>
        </w:rPr>
        <w:t>TransCon hGH is approved by the FDA in the U.S. under the brand name SKYTROFA for the treatment of pediatric patients one year and older who weigh at least 11.5 kg (25.4 lb) and have growth failure due to inadequate secretion of endogenous growth hormone. The EC has also granted a marketing authorisation for SKYTROFA, developed under the name TransCon hGH, as a once weekly subcutaneous injection for the treatment of children and adolescents ages 3 to 18 years with growth failure due to insufficient secretion of endogenous growth hormone. In addition, in November 2023, the EC granted marketing authorisation to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(palopegteriparatide), previously developed as TransCon PTH, as a replacement therapy indicated for the treatment of adults with chronic hypoparathyroidism. However, it is also possible that our competitors will commercialize competing drugs or treatments before we can launch any other product candidates that are ultimately approved by regulatory authorities. We also anticipate that we will face increased competition in the future as new companies enter into our current and target markets.</w:t>
      </w:r>
    </w:p>
    <w:p>
      <w:pPr>
        <w:spacing w:after="0" w:line="19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Furthermore, to the extent we are developing TransCon product candidates that incorporate already approved drugs, we face competition from the pharmaceutical companies which are currently marketing such approved products. These pharmaceutical companies can generally be expected to seek to delay the introduction of competing products through a variety of means including:</w:t>
      </w:r>
    </w:p>
    <w:p>
      <w:pPr>
        <w:spacing w:after="0" w:line="68"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new formulation patent applications on drugs whose original patent protection is about to expire;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 increasing number of patent applications that are more complex and costly to challenge;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suits for alleged patent infringement that automatically delay FDA or foreign regulatory authorities’ approval;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suits that challenge our marketing and promotion efforts;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patented controlled-release or other “next-generation” products, which may compete with TransCon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exclusive contracts with third-party payors;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claims and product labeling.</w:t>
      </w:r>
    </w:p>
    <w:p>
      <w:pPr>
        <w:spacing w:after="0" w:line="22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Any one of these strategies may increase the costs and risks associated with our efforts to develop and commercialize our products and product candidates and may delay or altogether prevent such development or commercialization.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competitors have:</w:t>
      </w:r>
    </w:p>
    <w:p>
      <w:pPr>
        <w:spacing w:after="0" w:line="116" w:lineRule="exact"/>
        <w:rPr>
          <w:sz w:val="20"/>
          <w:szCs w:val="20"/>
          <w:color w:val="auto"/>
        </w:rPr>
      </w:pPr>
    </w:p>
    <w:p>
      <w:pPr>
        <w:ind w:left="1020" w:right="100" w:hanging="504"/>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 financial, marketing, research, drug portfolios,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w:t>
      </w:r>
    </w:p>
    <w:p>
      <w:pPr>
        <w:spacing w:after="0" w:line="67" w:lineRule="exact"/>
        <w:rPr>
          <w:rFonts w:ascii="Times New Roman" w:cs="Times New Roman" w:eastAsia="Times New Roman" w:hAnsi="Times New Roman"/>
          <w:sz w:val="18"/>
          <w:szCs w:val="18"/>
          <w:color w:val="auto"/>
        </w:rPr>
      </w:pPr>
    </w:p>
    <w:p>
      <w:pPr>
        <w:ind w:left="1020" w:right="600" w:hanging="504"/>
        <w:spacing w:after="0" w:line="28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commercializing drugs, conducting preclinical testing, conducting clinical studies, obtaining regulatory approvals, challenging patents and in manufacturing and marketing pharmaceutical products;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been approved or are in late stages of development;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arrangements in our target markets with leading companies and research institutions.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products and product candidates that we successfully develop, we will face competition based on many different factors, including:</w:t>
      </w:r>
    </w:p>
    <w:p>
      <w:pPr>
        <w:spacing w:after="0" w:line="116"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such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specific circumstances relating to regulatory approvals for these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capabilities;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21" w:name="page22"/>
    <w:bookmarkEnd w:id="21"/>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third-party reimbursement for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patent position.</w:t>
      </w:r>
    </w:p>
    <w:p>
      <w:pPr>
        <w:spacing w:after="0" w:line="223"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TransCon technologies include a new approach to extending the residence time and duration of action of a variety of drug products.</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TransCon technologies have been developed to improve the delivery of a variety of drug products. TransCon hGH is approved by the FDA in the U.S. under the brand name SKYTROFA (lonapegsomatropin-tcgd) for the treatment of pediatric patients one year and older who weigh at least 11.5 kg (25.4 lb) and have growth failure due to inadequate secretion of endogenous growth hormone. The EC has also granted a marketing authorisation for SKYTROFA, developed under the name TransCon hGH, as a once weekly subcutaneous injection for the treatment of children and adolescents ages 3 to 18 years with growth failure due to insufficient secretion of endogenous growth hormone. In addition, in November 2023, the EC granted marketing authorisation to YORVIPATH (palopegteriparatide), previously developed as TransCon PTH, as a replacement therapy indicated for the treatment of adults with chronic hypoparathyroidism. However, we cannot be certain that any of our other products or product candidates using our TransCon technologies will be deemed safe or efficacious (or that any of our products will be deemed safe or effective for other indications), nor that any aspects of our TransCon technologies will yield additional product candidates that could be commercially valuable. Further, one of our two carrier systems, the TransCon hydrogel carrier system, has limited experience in humans. As a result, our TransCon hydrogel carriers, when dosed extensively in humans, may fail to perform as we expect. Failure of any of our product candidates to be successfully developed, approved and commercialized may result in our TransCon technologies being viewed as an ineffective approach to developing drug products which would harm our business and prospects.</w:t>
      </w:r>
    </w:p>
    <w:p>
      <w:pPr>
        <w:spacing w:after="0" w:line="19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apply our TransCon technologies to both approved and unapproved parent drugs to extend the half-life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 technologies and the extended life in the body of our product candidates utilizing TransCon technologies is unknown, and it is possible that our product candidates may have an increased risk of unforeseen reactions following extended treatment relative to other approved products. If extended treatment with our products or product candidates utilizing TransCon in our ongoing or future clinical trials results in any concerns about the safety or efficacy of our TransCon technologies, we may be unable to successfully develop or commercialize our products or product candidates.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2" w:name="page23"/>
    <w:bookmarkEnd w:id="22"/>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on product candidates utilizing our TransCon technologies to indicate whether they are safe or effective for long-term use in humans.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and product candidates are designed to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regarding utilizing the systemic TransCon technologies to indicate whether they are safe, pure, potent and/or effective for long-term use in humans, including the safety of any degradation products that may result after the TransCon carrier and TransCon linker are cleaved from the parent drug molecule. If treatment with any of our product candidates in our clinical trials results in concerns about their safety or efficacy, we and any collaboration partners may be unable to successfully develop or commercialize any or all of our TransCon technologies based on such product candidates or enter into collaborations with respect to our product candidates.</w:t>
      </w:r>
    </w:p>
    <w:p>
      <w:pPr>
        <w:spacing w:after="0" w:line="29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collaboration partners to develop and conduct clinical studies with, obtain regulatory approvals for, market and sell product candidates, and if such collaboration partners fail to perform as expected, or are unable to obtain the required regulatory approvals for such product candidates, the potential of such product candidates would be significantly reduced and our business would be significantly harmed.</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our collaboration partners to conduct certain clinical studies. For example, in November 2018, we announced the formation of VISEN, a company established to develop, manufacture, and commercialize our endocrinology rare disease therapy candidates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As another example, in November 2023, we announced that we entered into an exclusive license agreement with Teijin Limited (“Teijin”) to develop and commercialize TransCon hGH, TransCon PTH and TransCon CNP for certain endocrinology rare diseases in Japan. As a further example, in January 2024, we announced the formation of Eyconis, Inc. (“Eyconis”), a separate company created to develop, manufacture, and commercialize TransCon ophthalmology assets globally, together with an investor syndicate. In connection with the formation of Eyconis, we granted Eyconis exclusive rights to develop and commercialize TransCon ophthalmology products globally and received an equity position in the newly formed company. We may also enter into collaboration agreements with other parties in the future relating to our other product candidates.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Our existing collaborations and any future collaboration arrangements that we may enter into with third-parties may not be scientifically or commercially successful. In addition to the risks inherent in the development of a drug product candidate, factors that may affect the success of our collaborations include the following:</w:t>
      </w:r>
    </w:p>
    <w:p>
      <w:pPr>
        <w:spacing w:after="0" w:line="81" w:lineRule="exact"/>
        <w:rPr>
          <w:sz w:val="20"/>
          <w:szCs w:val="20"/>
          <w:color w:val="auto"/>
        </w:rPr>
      </w:pPr>
    </w:p>
    <w:p>
      <w:pPr>
        <w:jc w:val="both"/>
        <w:ind w:left="1020" w:right="280" w:hanging="504"/>
        <w:spacing w:after="0" w:line="275"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partners may have the unilateral ability to choose not to develop a collaboration product or product candidate for one or more indications for which such product or product candidate has been or is currently being evaluated, and our collaboration partners may</w:t>
      </w:r>
    </w:p>
    <w:p>
      <w:pPr>
        <w:spacing w:after="0" w:line="1" w:lineRule="exact"/>
        <w:rPr>
          <w:sz w:val="20"/>
          <w:szCs w:val="20"/>
          <w:color w:val="auto"/>
        </w:rPr>
      </w:pPr>
    </w:p>
    <w:p>
      <w:pPr>
        <w:ind w:left="1020" w:right="100"/>
        <w:spacing w:after="0" w:line="249" w:lineRule="auto"/>
        <w:rPr>
          <w:sz w:val="20"/>
          <w:szCs w:val="20"/>
          <w:color w:val="auto"/>
        </w:rPr>
      </w:pPr>
      <w:r>
        <w:rPr>
          <w:rFonts w:ascii="Times New Roman" w:cs="Times New Roman" w:eastAsia="Times New Roman" w:hAnsi="Times New Roman"/>
          <w:sz w:val="18"/>
          <w:szCs w:val="18"/>
          <w:color w:val="auto"/>
        </w:rPr>
        <w:t>choose to pursue an indication that is not in our strategic best interest or to forego an indication that they believe does not provide significant market potential even if clinical data is supportive of further development for such indication;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23" w:name="page24"/>
    <w:bookmarkEnd w:id="23"/>
    <w:p>
      <w:pPr>
        <w:ind w:left="1020" w:right="360" w:hanging="504"/>
        <w:spacing w:after="0" w:line="28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choose not to develop or commercialize our collaboration product or product candidate in certain relevant markets;</w:t>
      </w:r>
    </w:p>
    <w:p>
      <w:pPr>
        <w:spacing w:after="0" w:line="55"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take considerably more time in advancing our product or product candidate through the clinical and regulatory process than we currently anticipate, which could materially delay the achievement of milestones and, consequently the receipt of milestone payments or royalties from our collaboration partners;</w:t>
      </w:r>
    </w:p>
    <w:p>
      <w:pPr>
        <w:spacing w:after="0" w:line="67" w:lineRule="exact"/>
        <w:rPr>
          <w:rFonts w:ascii="Times New Roman" w:cs="Times New Roman" w:eastAsia="Times New Roman" w:hAnsi="Times New Roman"/>
          <w:sz w:val="18"/>
          <w:szCs w:val="18"/>
          <w:color w:val="auto"/>
        </w:rPr>
      </w:pPr>
    </w:p>
    <w:p>
      <w:pPr>
        <w:ind w:left="1020" w:right="28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have substantial discretion under their respective agreements regarding how they structure their efforts and allocate resources to fulfill their obligations to diligently develop, obtain regulatory approval for and commercialize our collaboration products and product candidates;</w:t>
      </w:r>
    </w:p>
    <w:p>
      <w:pPr>
        <w:spacing w:after="0" w:line="67"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control all or substantially all of the aspects of development and/or commercialization efforts under their respective license agreements and may change the focus of their development and/or commercialization efforts or pursue other higher-priority programs and, accordingly, reduce the efforts and resources allocated to their collaborations with us;</w:t>
      </w:r>
    </w:p>
    <w:p>
      <w:pPr>
        <w:spacing w:after="0" w:line="67" w:lineRule="exact"/>
        <w:rPr>
          <w:rFonts w:ascii="Times New Roman" w:cs="Times New Roman" w:eastAsia="Times New Roman" w:hAnsi="Times New Roman"/>
          <w:sz w:val="18"/>
          <w:szCs w:val="18"/>
          <w:color w:val="auto"/>
        </w:rPr>
      </w:pPr>
    </w:p>
    <w:p>
      <w:pPr>
        <w:ind w:left="1020" w:right="40" w:hanging="504"/>
        <w:spacing w:after="0" w:line="259"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solely be responsible for or have substantially all of the responsibility related to obtaining and maintaining all regulatory approvals of our products or product candidates, and we or our collaboration partners may fail to develop a commercially viable formulation or manufacturing process for our products or product candidates, and we or our collaboration partners may fail to manufacture or supply sufficient drug substance for commercial use, if approved, which could result in lost revenue under such collaborations;</w:t>
      </w:r>
    </w:p>
    <w:p>
      <w:pPr>
        <w:spacing w:after="0" w:line="7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not comply with all applicable regulatory requirements or may fail to report safety data in accordance with all applicable regulatory requirements;</w:t>
      </w:r>
    </w:p>
    <w:p>
      <w:pPr>
        <w:spacing w:after="0" w:line="55" w:lineRule="exact"/>
        <w:rPr>
          <w:rFonts w:ascii="Times New Roman" w:cs="Times New Roman" w:eastAsia="Times New Roman" w:hAnsi="Times New Roman"/>
          <w:sz w:val="18"/>
          <w:szCs w:val="18"/>
          <w:color w:val="auto"/>
        </w:rPr>
      </w:pPr>
    </w:p>
    <w:p>
      <w:pPr>
        <w:ind w:left="1020" w:right="60" w:hanging="504"/>
        <w:spacing w:after="0" w:line="28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agreements with our collaboration partners terminate, we would need to identify alternative means to continue the development, manufacture and commercialization of the affected products or product candidates, alone or with others;</w:t>
      </w:r>
    </w:p>
    <w:p>
      <w:pPr>
        <w:spacing w:after="0" w:line="55" w:lineRule="exact"/>
        <w:rPr>
          <w:rFonts w:ascii="Times New Roman" w:cs="Times New Roman" w:eastAsia="Times New Roman" w:hAnsi="Times New Roman"/>
          <w:sz w:val="18"/>
          <w:szCs w:val="18"/>
          <w:color w:val="auto"/>
        </w:rPr>
      </w:pPr>
    </w:p>
    <w:p>
      <w:pPr>
        <w:ind w:left="1020" w:right="200" w:hanging="504"/>
        <w:spacing w:after="0" w:line="28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have the discretion to sublicense their rights with respect to our collaboration technology in connection with collaboration products and product candidates to one or more third-parties without our consent;</w:t>
      </w:r>
    </w:p>
    <w:p>
      <w:pPr>
        <w:spacing w:after="0" w:line="55" w:lineRule="exact"/>
        <w:rPr>
          <w:rFonts w:ascii="Times New Roman" w:cs="Times New Roman" w:eastAsia="Times New Roman" w:hAnsi="Times New Roman"/>
          <w:sz w:val="18"/>
          <w:szCs w:val="18"/>
          <w:color w:val="auto"/>
        </w:rPr>
      </w:pPr>
    </w:p>
    <w:p>
      <w:pPr>
        <w:ind w:left="1020" w:right="16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be pursuing alternative technologies or developing alternative products or product candidates, either on their own or in collaboration with others, that may be competitive with our technology, products or product candidates on which they are collaborating with us or which could affect our collaboration partners’ commitment to the collaboration; and</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experience financial difficulties.</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timing and amount of any milestone and royalty payments we may receive under agreements with collaboration partners and the value of any equity we own in our collaboration partners (such as the equity we own in VISEN) will depend on, among other things, the efforts, allocation of resources, and successful development and commercialization of our products or product candidates by our collaboration partners. We cannot be certain that any development and regulatory milestones will be achieved or that we will receive any future milestone payments under agreements we may enter into with collaboration partners. In addition, in certain circumstances we may believe that a particular milestone has been achieved and the applicable collaboration partner may disagree with our belief. In that case, receipt of that milestone payment may be delayed or may never be received, which may require us to adjust our operating plans. We also cannot be certain that any equity we own in our collaboration partners (such as the equity we own in VISEN) will maintain its value or grow in value.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24" w:name="page25"/>
    <w:bookmarkEnd w:id="24"/>
    <w:p>
      <w:pPr>
        <w:ind w:right="4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form additional strategic collaborations in the future with respect to our proprietary programs, but we may not realize the benefits of such collaborations.</w:t>
      </w:r>
    </w:p>
    <w:p>
      <w:pPr>
        <w:spacing w:after="0" w:line="5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may form strategic collaborations, create joint ventures or enter into licensing arrangements with third-parties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As another example, in November 2023, we announced that we entered into an exclusive license agreement with Teijin to develop and commercialize TransCon hGH, TransCon PTH and TransCon CNP for certain endocrinology rare diseases in Japan. As a further example, in January 2024, we announced the formation of Eyconis, a separate company created to develop, manufacture, and commercialize TransCon ophthalmology assets globally, together with an investor syndicate. In connection with the formation of Eyconis, we granted Eyconis exclusive rights to develop and commercialize TransCon ophthalmology products globally and received an equity position in the newly formed company.</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to secure appropriate terms is time-consuming and complex. Any delays in identifying suitable development partners and entering into agreements to develop our products or product candidates could also delay the commercialization of our product candidates, which may reduce their competitiveness even if they reach the market. Moreover, we may 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 candidates in Greater China, so our ability to negotiate such a collaboration with suitable third parties in that market may be hampered by such rights we granted to VISEN. Additionally, our product candidates and programs may be deemed to be at too early of a stage of development for collaborative effort, our research and development pipeline may be viewed as insufficient, and/or third-parties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w:t>
      </w:r>
    </w:p>
    <w:p>
      <w:pPr>
        <w:spacing w:after="0" w:line="29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designation for some of our product candidates and we may be unsuccessful, or may be unable to maintain the benefits associated with orphan designation, including the potential for market exclusivity, for product candidates for which we obtain orphan designation.</w:t>
      </w:r>
    </w:p>
    <w:p>
      <w:pPr>
        <w:spacing w:after="0" w:line="5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Orphan designation must be requested before submitting a BLA or NDA in the United States or a MAA in the EU.</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25" w:name="page26"/>
    <w:bookmarkEnd w:id="25"/>
    <w:p>
      <w:pPr>
        <w:ind w:right="40"/>
        <w:spacing w:after="0" w:line="272" w:lineRule="auto"/>
        <w:rPr>
          <w:sz w:val="20"/>
          <w:szCs w:val="20"/>
          <w:color w:val="auto"/>
        </w:rPr>
      </w:pPr>
      <w:r>
        <w:rPr>
          <w:rFonts w:ascii="Times New Roman" w:cs="Times New Roman" w:eastAsia="Times New Roman" w:hAnsi="Times New Roman"/>
          <w:sz w:val="17"/>
          <w:szCs w:val="17"/>
          <w:color w:val="auto"/>
        </w:rPr>
        <w:t>If a drug or biologic with an orphan designation subsequently receives the first marketing approval for the indication for which it has such designation, the drug or biologic is entitled to a period of marketing exclusivity, which precludes the FDA from approving another marketing application for the same drug or biologic for the same disease or condition for a seven-year period, except in limited circumstances. If our competitors are able to obtain orphan drug exclusivity prior to us, for products that constitute the “same drug” and treat the same diseases or conditions as our product candidates, we may not be able to have competing products approved by the applicable regulatory authority for a significant period of time. The applicable period is seven years in the United States. The applicable exclusivity period is ten years in the EU, but such exclusivity period can be reduced to six years if, at the end of the fifth year, a product no longer meets the criteria for orphan designation or if the product is sufficiently profitable so that market exclusivity is no longer justified.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intend to pursue orphan designation for certain of our product candidates. For example, in June 2018, we were granted orphan drug designation by the FDA for TransCon PTH for the treatment of hypoparathyroidism, in February 2019, we were granted orphan drug designation by the FDA for TransCon CNP for the treatment of achondroplasia, and in April 2020, we were granted orphan drug designation by the FDA for TransCon hGH for the treatment of GHD. Additionally, in October 2019, we were granted orphan designation by the EC for TransCon hGH for GHD, in July 2020, we were granted orphan designation by the EC for TransCon CNP for the treatment of achondroplasia and in October 2020, we were granted orphan designation by the EC for TransCon PTH for treatment of hypoparathyroidism. In July 2021, we were granted orphan drug designation from the Japanese Ministry of Health, Labour and Welfare for TransCon PTH. However, we may be unsuccessful in obtaining additional orphan designations, and may be unable to maintain the benefits associated with orphan designation, such as orphan drug exclusivity.</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foreign regulatory authorities from approving the same or a different drug in another indication. Even after an orphan drug is granted orphan exclusivity and approved, the FDA or foreign regulatory authorities can subsequently approve a later application for the same drug for the same condition before the expiration of the exclusivity period if the FDA or foreign regulatory authorities conclude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and in foreign jurisdictions may be lost if the FDA or foreign regulatory authorities later determine that the request for designation was materially defective or if we are unable to manufacture sufficient quantities of the product to meet the needs of patients with the rare disease or condition. Orphan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biological product for which we intend to seek approval may face competition sooner than anticipated.</w:t>
      </w:r>
    </w:p>
    <w:p>
      <w:pPr>
        <w:spacing w:after="0" w:line="1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6" w:name="page27"/>
    <w:bookmarkEnd w:id="26"/>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any of our future biological product candidates approved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preclinical, clinical, and commercial supplies of our products, product candidates and their device components.</w:t>
      </w:r>
    </w:p>
    <w:p>
      <w:pPr>
        <w:spacing w:after="0" w:line="13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We do not own facilities for manufacturing our products and product candidates. We depend on third-parties to manufacture and provide analytical services with respect to our products and product candidates and their respective device components.</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addition, to produce the quantities necessary to meet anticipated market demand, we and/or any collaboration partners will need to secure sufficient manufacturing capacity with third-party manufacturers. For TransCon hGH we believe we have secured agreements to provide for sufficient manufacturing capacity with third-party manufacturers; however, our estimates of market demand may be inaccurate and third-party manufacturers may fail to produce sufficient quantities on a timely basis or at all. If we and/or any collaboration partners are unable to produce our products and product candidates in sufficient quantities to meet the requirements for the launch of the product or to meet future demand, our revenues and gross margins would be adversely affected. To be successful, our products and product candidates must be manufactured in commercial quantities in compliance with regulatory requirements and at acceptable costs. We and/or any collaboration partners will regularly need to maintain access to facilities to manufacture commercial supplies of our products and product candidates, if approved. All of this will require additional funds and successful completion of inspection or audits and approval by the FDA, other regulatory authorities and by notified bodies with respect to the device components. If we and/or any 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and/or any collaboration partners may encounter problems with aspects of manufacturing our products and product candidates, including the following:</w:t>
      </w:r>
    </w:p>
    <w:p>
      <w:pPr>
        <w:spacing w:after="0" w:line="127"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yields;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FDA and foreign regulations;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costs;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advanced manufacturing techniques and process controls.</w:t>
      </w:r>
    </w:p>
    <w:p>
      <w:pPr>
        <w:spacing w:after="0" w:line="22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We evaluate our options for clinical study supplies and commercial production of our products and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our products and product candidates can be manufactured under cGMP or similar foreign regulations, a requirement for all pharmaceutical products. We cannot be certain that we will be able to contract with any of these companies on acceptable terms, if at all, all of which could harm our business, results of operations and prospects, and the value of our shares or ADSs.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27" w:name="page28"/>
    <w:bookmarkEnd w:id="27"/>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we, as well as any third-party manufacturer, will be required to register such manufacturing facilities with the FDA (and have a U.S. agent for the facility, if outside the United States) and other regulatory authorities. The facilities will be subject to inspections confirming compliance with the FDA, and other regulatory authority cGMP or similar foreign requirements. We do not control the manufacturing process of our product candidates, and we are dependent on our contract manufacturing partners for compliance with cGMPs or similar regulations for manufacture of both active drug substances and finished drug products. If we or any third-party manufacturer fails to maintain regulatory compliance, our business, financial condition and results of operations may be harmed, and the FDA or other regulatory authorities can impose regulatory sanctions that range from a warning letter to withdrawal of approval to seeking product seizures, injunctions and, where appropriate, criminal prosecution. Pursuant to our agreements with VISEN, we have provided and may in the future provide, clinical supplies of our product candidates and commercial supplies of our products to VISEN for its use in clinical trials and commercialization. Pursuant to our agreements with Teijin, we may also provide Teijin with clinical supplies of our product candidates and commercial supplies of our products for Teijin’s use in future clinical trials and commercialization. In order to fulfill these supplies, we rely on third-party manufacturers over which we have no or very limited control or power.</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contract manufacturers cannot successfully manufacture our product candidates or products that conform to our specifications and the strict regulatory requirements of the FDA or similar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similar regulatory authority does not approve these facilities for the manufacture of our products or product candidates or if it withdraws any such approval in the future, we may need to find alternative manufacturing facilities, which would significantly impact our ability to develop, obtain regulatory approval for or market our products or product candidates, if approved.</w:t>
      </w:r>
    </w:p>
    <w:p>
      <w:pPr>
        <w:spacing w:after="0" w:line="29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our manufacturers to purchase from third-party suppliers the materials necessary to produce our products and product candidates. Any significant delay or discontinuation in the supply of such materials would delay commercialization and the completion of our clinical studies and harm our business.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are a limited number of suppliers for raw materials that we use to manufacture our products and product candidates, and there may be a need to identify alternate suppliers to prevent a possible disruption of the manufacture of the materials necessary to produce our products or product candidates for commercial sale and/or our clinical studies.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which relies on us for clinical supply of our product candidates, as well as Teijin, which we currently contemplate will rely on us for future clinical and commercial supplies of our product candidates, would do the same, any significant delay or discontinuity in the supply of a product candidate, or the raw material components thereof, for a clinical study due to the need to replace a third-party manufacturer could considerably delay completion of our, VISEN’s or Teijin’s clinical studies, product testing, and potential regulatory approval of our product candidates, which could harm our business and results of operations.</w:t>
      </w:r>
    </w:p>
    <w:p>
      <w:pPr>
        <w:spacing w:after="0" w:line="18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Any inability to obtain suppliers, including an inability to obtain, or delay in obtaining, approval of a supplier from the FDA or other regulatory authorities, would delay or prevent the clinical development and commercialization of our products and product candidates.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8" w:name="page29"/>
    <w:bookmarkEnd w:id="28"/>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products and product candidates.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which are inherent in research and development, preclinical and clinical studies, manufacturing, marketing and use of our products and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Product liability claims may be expensive to defend and may result in judgements against us which are potentially punitive. If we cannot successfully defend ourselves against product liability claims, we may incur substantial liabilities or be required to limit commercialization of our products and product candidates. Even successful defense would require significant financial and management resources. Regardless of the merits or eventual outcome, liability claims may result in:</w:t>
      </w:r>
    </w:p>
    <w:p>
      <w:pPr>
        <w:spacing w:after="0" w:line="77"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our products or product candidates.</w:t>
      </w: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commercial sales and use in our clinical trials in the amount of $20 million in the aggregate on our primary insurance policy and $100 million in the aggregate on our excess insurance policy. Any claim that may be brought against us could result in a court judgement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29" w:name="page30"/>
    <w:bookmarkEnd w:id="29"/>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significantly increase the size of our organization and we may have difficulties in managing our growth and expanding our operations successfully.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2023, we had 879 employees worldwide, with key facilities in Denmark, Germany, and the United States. As we advance our products and product candidates through the development and commercialization process, we will need to expand managerial, operational, financial, sales and marketing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collaboration partners or through third-party contractors, as applicable:</w:t>
      </w:r>
    </w:p>
    <w:p>
      <w:pPr>
        <w:spacing w:after="0" w:line="78"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general and administrative functions;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screen, retain, incentivize and integrate additional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third-parties;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build a marketing and commercial organization;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legal, financial, compliance and management controls, reporting systems and procedures.</w:t>
      </w:r>
    </w:p>
    <w:p>
      <w:pPr>
        <w:spacing w:after="0" w:line="223" w:lineRule="exact"/>
        <w:rPr>
          <w:sz w:val="20"/>
          <w:szCs w:val="20"/>
          <w:color w:val="auto"/>
        </w:rPr>
      </w:pPr>
    </w:p>
    <w:p>
      <w:pPr>
        <w:jc w:val="both"/>
        <w:ind w:right="620"/>
        <w:spacing w:after="0" w:line="265" w:lineRule="auto"/>
        <w:rPr>
          <w:sz w:val="20"/>
          <w:szCs w:val="20"/>
          <w:color w:val="auto"/>
        </w:rPr>
      </w:pPr>
      <w:r>
        <w:rPr>
          <w:rFonts w:ascii="Times New Roman" w:cs="Times New Roman" w:eastAsia="Times New Roman" w:hAnsi="Times New Roman"/>
          <w:sz w:val="18"/>
          <w:szCs w:val="18"/>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w:t>
      </w:r>
    </w:p>
    <w:p>
      <w:pPr>
        <w:spacing w:after="0" w:line="18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our senior management and independent registered public accounting firm to report on the effectiveness of our internal control over financial reporting. Section 404 requires an annual management assessment of the effectiveness of our internal control over financial reporting, and we are required to include an opinion from our independent registered public accounting firm on the effectiveness of our internal controls over financial reporting.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period to period and these variations may be difficult to predict.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expected to vary significantly from period to period due to a number of factors. Many of these factors are outside of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7"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for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from product sales;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opportunities and patient populations for our products and product candidates, including with respect to TransCon PTH;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intellectual property litigation by third-parties or by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relating to the expansion of our business operations and facilities;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commencement, completion or termination of collaboration agreements;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to us under collaboration agreements, if any;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and services by us, collaboration partners or our competitors;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preclinical testing and clinical studies;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studies;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preclinical testing and clinical studies;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regional and global effect of inflation;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multiple interest rate increases implemented and forecasted by the U.S. Federal Reserve;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license fees for the right to use third-party proprietary rights, if any.</w:t>
      </w:r>
    </w:p>
    <w:p>
      <w:pPr>
        <w:spacing w:after="0" w:line="22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revenues in any particular period may be lower than we anticipate and, if we are unable to reduce spending in that period, our operating results will be harmed.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spacing w:after="0" w:line="80" w:lineRule="exact"/>
        <w:rPr>
          <w:sz w:val="20"/>
          <w:szCs w:val="20"/>
          <w:color w:val="auto"/>
        </w:rPr>
      </w:pPr>
    </w:p>
    <w:p>
      <w:pPr>
        <w:ind w:left="1020" w:right="2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55" w:lineRule="exact"/>
        <w:rPr>
          <w:rFonts w:ascii="Times New Roman" w:cs="Times New Roman" w:eastAsia="Times New Roman" w:hAnsi="Times New Roman"/>
          <w:sz w:val="18"/>
          <w:szCs w:val="18"/>
          <w:color w:val="auto"/>
        </w:rPr>
      </w:pPr>
    </w:p>
    <w:p>
      <w:pPr>
        <w:ind w:left="1020" w:right="78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 including potential indemnification claims from a potential spin-off or out-license of certain of our intellectual property rights;</w:t>
      </w:r>
    </w:p>
    <w:p>
      <w:pPr>
        <w:spacing w:after="0" w:line="55" w:lineRule="exact"/>
        <w:rPr>
          <w:rFonts w:ascii="Times New Roman" w:cs="Times New Roman" w:eastAsia="Times New Roman" w:hAnsi="Times New Roman"/>
          <w:sz w:val="18"/>
          <w:szCs w:val="18"/>
          <w:color w:val="auto"/>
        </w:rPr>
      </w:pPr>
    </w:p>
    <w:p>
      <w:pPr>
        <w:ind w:left="1020" w:right="6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to develop acquired products, product candidates or technologies;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15" w:lineRule="exact"/>
        <w:rPr>
          <w:rFonts w:ascii="Times New Roman" w:cs="Times New Roman" w:eastAsia="Times New Roman" w:hAnsi="Times New Roman"/>
          <w:sz w:val="18"/>
          <w:szCs w:val="18"/>
          <w:color w:val="auto"/>
        </w:rPr>
      </w:pPr>
    </w:p>
    <w:p>
      <w:pPr>
        <w:ind w:left="1020" w:right="58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lower-than-expected benefits, from out-licensing or selling our technology, intellectual property or any of our subsidiaries or, from in-licensing intellectual property or purchasing assets;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or separating the operations and personnel of any acquired or sold businesses with our existing operations and personnel;</w:t>
      </w:r>
    </w:p>
    <w:p>
      <w:pPr>
        <w:spacing w:after="0" w:line="55"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disagree with our strategic partners about decisions affecting the business, which could result in litigation or arbitration that increases our expenses, distracts our officers and directors and disrupts the day-to-day operations of the strategic venture, including by delaying important decisions until the dispute is resolved;</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 may take actions that we oppose;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 might experience financial distress or become bankrupt;</w:t>
      </w:r>
    </w:p>
    <w:p>
      <w:pPr>
        <w:spacing w:after="0" w:line="115" w:lineRule="exact"/>
        <w:rPr>
          <w:rFonts w:ascii="Times New Roman" w:cs="Times New Roman" w:eastAsia="Times New Roman" w:hAnsi="Times New Roman"/>
          <w:sz w:val="18"/>
          <w:szCs w:val="18"/>
          <w:color w:val="auto"/>
        </w:rPr>
      </w:pPr>
    </w:p>
    <w:p>
      <w:pPr>
        <w:ind w:left="1020" w:right="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or sold businesses due to changes in our senior management and ownership;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addition, to the extent we enter into a strategic transaction that includes ongoing operations or shared ownership and management, our strategic partners may take actions that we oppose or we may disagree with our strategic partners about decisions affecting the business, which could result in litigation or arbitration, distract our officers and directors and otherwise disrupt the day-to-day operations of our business and the business of the strategic partner or entity. Furthermore, to the extent that our directors and officers serve on the boards of our strategic partners, such directors may be required to abstain from board decision-making in the event of a conflict of interest.</w:t>
      </w:r>
    </w:p>
    <w:p>
      <w:pPr>
        <w:spacing w:after="0" w:line="18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32" w:name="page33"/>
    <w:bookmarkEnd w:id="32"/>
    <w:p>
      <w:pPr>
        <w:ind w:right="4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Royalty Pharma Agreement places restrictions on our operating and financial flexibility, and if we fail to comply with certain covenants in the Royalty Pharma Agreement, our results of operations and financial condition may be harmed.</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September 2023, we entered into a Revenue Participation Right Purchase and Sale Agreement (the “Royalty Pharma Agreement”) with Royalty Pharma Development Funding, LLC (“Royalty Pharma”). The Royalty Pharma Agreement contains covenants that impose on us certain obligations with respect to payment, diligence, reporting, intellectual property, in-licenses, out-licenses and certain other actions, as well as indemnification obligations. Among other things, these covenants require us to use commercially reasonable efforts to manufacture and commercialize SKYTROFA in the United States and to develop SKYTROFA for a new indication, and limit our ability to create or incur liens or dispose of certain assets related to SKYTROFA. Compliance with these covenants may limit our flexibility in operating our business and our ability to take actions that might otherwise be advantageous to us and our stockholders. Pursuant to the Royalty Pharma Agreement, we have granted to Royalty Pharma back-up security interest in certain assets to secure our obligations under the Royalty Pharma Agreement. If we are unable to comply with our obligations, Royalty Pharma may be entitled to take possession of such assets, which could have a material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harm our results of operations and financial condition.</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 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 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 could harm our business in the future. Despite measures taken by the EU to provide funding to certain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 the exit of one or more EU member states from the EU or the abandonment of the Euro as a currency, are impossible to predict with certainty, and any such events could harm our business, financial condition and results of operations.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financial markets and our business.</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laws, however under the terms of the Ireland/Northern Ireland Protocol, EU laws generally apply to Northern Ireland. On February 27, 2023, the UK Government and the EC reached a political agreement on the “Windsor Framework” which will revise the Protocol on Ireland/Northern Ireland in order to address some of the perceived shortcomings in its operation. Under the changes, Northern Ireland will be reintegrated under the regulatory authority of the MHRA with respect to medicinal products.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 In addition, new legislation such as the EU CTR is not applicable in Great Britain. While the EU-UK Trade and Cooperation Agreement includes the mutual recognition of Good Manufacturing Practice (“GMP”),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member states within the EMA Clinical Trial Information System, adding further complexity, cost and potential risk to future clinical and development activity in the UK. Significant political and economic uncertainty remains about how much the relationship between the UK and EU will differ as a result of the UK’s withdrawal.</w:t>
      </w:r>
    </w:p>
    <w:p>
      <w:pPr>
        <w:spacing w:after="0" w:line="18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ADSs.</w:t>
      </w:r>
    </w:p>
    <w:p>
      <w:pPr>
        <w:spacing w:after="0" w:line="286" w:lineRule="exact"/>
        <w:rPr>
          <w:sz w:val="20"/>
          <w:szCs w:val="20"/>
          <w:color w:val="auto"/>
        </w:rPr>
      </w:pPr>
    </w:p>
    <w:p>
      <w:pPr>
        <w:ind w:right="5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product candidates in foreign jurisdictions, could harm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engage extensively in international operations, which include seeking marketing approval for certain of our product candidates in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are or will be subject to additional risks related to entering into these international business markets and relationships, including:</w:t>
      </w:r>
    </w:p>
    <w:p>
      <w:pPr>
        <w:spacing w:after="0" w:line="97"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drug import and export rules;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lacking or reduced protection for intellectual property rights in foreign countries;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5" w:lineRule="exact"/>
        <w:rPr>
          <w:rFonts w:ascii="Times New Roman" w:cs="Times New Roman" w:eastAsia="Times New Roman" w:hAnsi="Times New Roman"/>
          <w:sz w:val="18"/>
          <w:szCs w:val="18"/>
          <w:color w:val="auto"/>
        </w:rPr>
      </w:pPr>
    </w:p>
    <w:p>
      <w:pPr>
        <w:ind w:left="1020" w:right="380" w:hanging="504"/>
        <w:spacing w:after="0" w:line="280"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work conducted by distributors;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34" w:name="page35"/>
    <w:bookmarkEnd w:id="34"/>
    <w:p>
      <w:pPr>
        <w:ind w:left="1020" w:right="220" w:hanging="504"/>
        <w:spacing w:after="0" w:line="280"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Foreign Corrupt Practices Act, its books and records provisions, or its anti-bribery provisions;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example, we originally planned to conduct the Phase 3 foresiGHt trial utilizing sites in Belarus and Russia, but instead we engaged alternative sites for the study following the outbreak of conflict in Ukraine, which adversely affected patient enrollment. In addition, the manufacture of our products and product candidates is dependent upon third-party manufacturers that are based in other parts of the world, including the United States, Europe (including the UK and Switzerland), Japan and China. This manufacturing process requires that the components used in our products and product candidates are transported long distances, through multiple countries, which increases the risk that issues in the global supply chain or other disruptions to the international marketplace could harm our business.</w:t>
      </w:r>
    </w:p>
    <w:p>
      <w:pPr>
        <w:spacing w:after="0" w:line="291" w:lineRule="exact"/>
        <w:rPr>
          <w:sz w:val="20"/>
          <w:szCs w:val="20"/>
          <w:color w:val="auto"/>
        </w:rPr>
      </w:pPr>
    </w:p>
    <w:p>
      <w:pPr>
        <w:ind w:right="6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parent drug, drug product and other components of our products and product candidates are currently acquired from certain single-source suppliers. The loss of these suppliers, or their failure to supply could materially and adversely affect our business.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TransCon hGH drug product in vials is manufactured by Vetter Pharma Fertigung (“Vetter”), pursuant to our agreement with Vetter. TransCon hGH drug product in dual chamber cartridges is supplied by Vetter for use in our drug delivery device made by Phillips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(“NOF”), supplies PEGs. Furthermore, NOF is responsible for coupling the TransCon linker used for TransCon hGH to methoxy PEG, under manufacturing agreements and accompanying purchase orders. Our growth hormone parent drug as well as our TransCon hGH drug substance are supplied by both Fujifilm Diosynth Biotechnologies UK Limited (“Fujifilm”) and Lonza Ltd. Our PTH as well as our TransCon PTH drug substance is supplied by Bachem, Switzerland, pursuant to our agreement with Bachem. Vetter manufactures the TransCon PTH drug product in cartridges and assembles the cartridges with a drug delivery device made by Ypsomed AG. CNP drug substance is supplied by Wacker Biotech, Germany. Our TransCon CNP drug product in vials is manufactured by Vetter pursuant to our agreement with Vetter. We do not currently have any other suppliers for the drug substance, drug product or other components of our TransCon hGH,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commercialization or development of our products and product candidates. Additionally, we may not be able to enter into supply arrangements with alternative suppliers on commercially reasonable terms or at all. A delay in the commercialization or development of our products or product candidates or having to enter into a new agreement with a different third-party on less favorable terms than we have with our current suppliers could have a material adverse impact upon our business.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additional product candidates based on our TransCon technologies.</w:t>
      </w:r>
    </w:p>
    <w:p>
      <w:pPr>
        <w:spacing w:after="0" w:line="120" w:lineRule="exact"/>
        <w:rPr>
          <w:sz w:val="20"/>
          <w:szCs w:val="20"/>
          <w:color w:val="auto"/>
        </w:rPr>
      </w:pPr>
    </w:p>
    <w:p>
      <w:pPr>
        <w:jc w:val="both"/>
        <w:ind w:right="540"/>
        <w:spacing w:after="0" w:line="265" w:lineRule="auto"/>
        <w:rPr>
          <w:sz w:val="20"/>
          <w:szCs w:val="20"/>
          <w:color w:val="auto"/>
        </w:rPr>
      </w:pPr>
      <w:r>
        <w:rPr>
          <w:rFonts w:ascii="Times New Roman" w:cs="Times New Roman" w:eastAsia="Times New Roman" w:hAnsi="Times New Roman"/>
          <w:sz w:val="18"/>
          <w:szCs w:val="18"/>
          <w:color w:val="auto"/>
        </w:rPr>
        <w:t>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w:t>
      </w:r>
    </w:p>
    <w:p>
      <w:pPr>
        <w:spacing w:after="0" w:line="68"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inadequate efficacy, harmful side effects or other characteristics</w:t>
      </w:r>
    </w:p>
    <w:p>
      <w:pPr>
        <w:spacing w:after="0" w:line="27" w:lineRule="exact"/>
        <w:rPr>
          <w:sz w:val="20"/>
          <w:szCs w:val="20"/>
          <w:color w:val="auto"/>
        </w:rPr>
      </w:pPr>
    </w:p>
    <w:p>
      <w:pPr>
        <w:ind w:left="1020" w:right="620"/>
        <w:spacing w:after="0" w:line="249" w:lineRule="auto"/>
        <w:rPr>
          <w:sz w:val="20"/>
          <w:szCs w:val="20"/>
          <w:color w:val="auto"/>
        </w:rPr>
      </w:pPr>
      <w:r>
        <w:rPr>
          <w:rFonts w:ascii="Times New Roman" w:cs="Times New Roman" w:eastAsia="Times New Roman" w:hAnsi="Times New Roman"/>
          <w:sz w:val="18"/>
          <w:szCs w:val="18"/>
          <w:color w:val="auto"/>
        </w:rPr>
        <w:t>suggesting that they are unlikely to be effective or safe products, or that they may not be sufficiently differentiated or offer substantial improvement over the currently available treatment options or standard of care in a given therapeutic category.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35" w:name="page36"/>
    <w:bookmarkEnd w:id="35"/>
    <w:p>
      <w:pPr>
        <w:ind w:right="360"/>
        <w:spacing w:after="0" w:line="280" w:lineRule="auto"/>
        <w:rPr>
          <w:sz w:val="20"/>
          <w:szCs w:val="20"/>
          <w:color w:val="auto"/>
        </w:rPr>
      </w:pPr>
      <w:r>
        <w:rPr>
          <w:rFonts w:ascii="Times New Roman" w:cs="Times New Roman" w:eastAsia="Times New Roman" w:hAnsi="Times New Roman"/>
          <w:sz w:val="18"/>
          <w:szCs w:val="18"/>
          <w:color w:val="auto"/>
        </w:rPr>
        <w:t>If we are unable to develop suitable product candidates through internal research programs or otherwise, we will not be able to increase our revenues in future periods, which could harm our business, results of operations and prospects, and the value of our shares or ADSs.</w:t>
      </w:r>
    </w:p>
    <w:p>
      <w:pPr>
        <w:spacing w:after="0" w:line="266"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p>
    <w:p>
      <w:pPr>
        <w:spacing w:after="0" w:line="51"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In particular, we are highly dependent upon Jan Møller Mikkelsen, our President and Chief Executive Officer. The loss of services of this individual could result in delays in product development and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difficulties in attracting and retaining key personnel, and if we fail to do so our business may suffer.</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are highly dependent on the principal members of our senior management and scientific staff, the loss of whose services could adversely affect the achievement of planned development objectives. In addition, we could experience difficulties attracting and retaining qualified employees in the future. For example, competition for qualified personnel in the biotechnology and pharmaceuticals field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additional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6" w:name="page37"/>
    <w:bookmarkEnd w:id="36"/>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may fail or suffer in the event of information technology system failures, cyberattacks or deficiencies in our cybersecurity, which could result in a material disruption of our product development programs and other critical business functions.</w:t>
      </w:r>
    </w:p>
    <w:p>
      <w:pPr>
        <w:spacing w:after="0" w:line="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those of our CROs and other contractors and consultants are vulnerable to attack and damage from computer viruses and malware (e.g., ransomware), unauthorized access, natural disasters, terrorism, war, telecommunication and electrical failures, malfeasance by external or internal parties, human error (e.g., social engineering,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may from time to time be subject to cyberattacks and security incidents. While we do not believe that we have experienced any significant system failure, accident or security breach to date, if such an event were to occur and cause interruptions in our and our critical third parties’ operations, it could result in a material disruption of our programs, our operations, and ultimately, our financial results. For example, the loss of clinical trial data from completed or ongoing clinical trials for our products or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products or product candidates could be delayed.</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applicable privacy and security laws. 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Laws around cybersecurity are also developing, and changes in such laws may require additional compliance costs. For example, in the EU, more stringent rules around cybersecurity are being adopted, such as the NIS2 Directive, which requires in-scope entities to implement heightened cybersecurity measures and responses, including with respect to security incident handling and reporting obligations.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We maintain cyber liability insurance; however, this insurance may not be sufficient to cover the financial, legal, business or reputational losses that may result from an interruption or breach of our systems.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7" w:name="page38"/>
    <w:bookmarkEnd w:id="37"/>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may continue to be, adversely affected by health epidemics, pandemics and other outbreaks of infectious disease, including the global pandemic caused by COVID-19.</w:t>
      </w:r>
    </w:p>
    <w:p>
      <w:pPr>
        <w:spacing w:after="0" w:line="5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183"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The COVID-19 pandemic has reached across the globe, resulting in the implementation of significant governmental measures, including lockdowns, closures, quarantines, and travel bans intended to control the spread of the virus.</w:t>
      </w:r>
    </w:p>
    <w:p>
      <w:pPr>
        <w:spacing w:after="0" w:line="16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These current and potential future measures put in place as a result of the COVID-19 pandemic or any future epidemic, pandemic, or health crisis could cause disruptions that could severely impact our business, clinical trials and commercialization activities, including by causing delays to our clinical trials, interrupting our supply chain, restricting access to our facilities, placing restrictions on our workforce and the workforce of our partners, or delaying interactions with regulators.</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addition, the COVID-19 pandemic has caused, and may cause further, disruption to global financial markets. This may reduce our ability to access capital on favorable terms or to access capital at all. Furthermore, sustained adverse market events (such as a recession or depression) resulting from the COVID-19 pandemic could materially and adversely affect our business and the price of our ADSs.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extent to which the COVID-19 pandemic or any future epidemic, pandemic, or other health crisis impacts our business and clinical trials will depend on future developments, which are highly uncertain and cannot be predicted with confidence, such as the speed and extent of geographic spread of the disease, the duration of the outbreak, travel restrictions and social distancing in the affected areas, business closures or business disruptions and the effectiveness of actions taken in the affected areas to contain and treat the disease.</w:t>
      </w:r>
    </w:p>
    <w:p>
      <w:pPr>
        <w:spacing w:after="0" w:line="286"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and regional economic, political, health, climate and other conditions and events could adversely affect our business, financial condition or results of operations.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or regional economic, political, health, climate and other conditions and events. A global financial crisis or global or regional political and economic instability, failure of banks, wars, terrorism, civil unrest, outbreaks of disease, such as COVID-19, and other unexpected events, such as natural disasters, internet security threats, and damage to global communication networks, could cause extreme volatility, disrupt our business and increase our costs and expenses. Business disruptions could include, among others, disruptions to clinical enrollment, clinical site availability, patient accessibility, conduct of our clinical trials and commercialization activities, as well as temporary closures of our facilities and the facilities of suppliers or manufacturers in our supply chain.</w:t>
      </w:r>
    </w:p>
    <w:p>
      <w:pPr>
        <w:spacing w:after="0" w:line="1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For example, trade policies and geopolitical disputes (including as a result of China-Taiwan geo-political instability) and other international conflicts can result in tariffs, sanctions and other measures that restrict international trade, and can materially adversely affect our business, particularly if these measures occur in regions where our third-party contract manufacturers operate. Countries may also adopt measures, such as controls on imports or exports of goods, technology or data, that could adversely impact the Company’s operations and supply chain. These geopolitical risks could also adversely affect VISEN’s activities in China.</w:t>
      </w:r>
    </w:p>
    <w:p>
      <w:pPr>
        <w:spacing w:after="0" w:line="18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addition, global credit and financial markets have experienced volatility and disruptions over the past years, including concerns about declines in consumer confidence, declines in economic growth, increases in the rate of inflation, increases in borrowing rates and changes in liquidity and credit availability, and uncertainty about economic stability, including most recently in connection with actions undertaken by the U.S. Federal Reserve Board to address inflation.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8" w:name="page39"/>
    <w:bookmarkEnd w:id="38"/>
    <w:p>
      <w:pPr>
        <w:ind w:right="140"/>
        <w:spacing w:after="0" w:line="257" w:lineRule="auto"/>
        <w:rPr>
          <w:sz w:val="20"/>
          <w:szCs w:val="20"/>
          <w:color w:val="auto"/>
        </w:rPr>
      </w:pPr>
      <w:r>
        <w:rPr>
          <w:rFonts w:ascii="Times New Roman" w:cs="Times New Roman" w:eastAsia="Times New Roman" w:hAnsi="Times New Roman"/>
          <w:sz w:val="18"/>
          <w:szCs w:val="18"/>
          <w:color w:val="auto"/>
        </w:rPr>
        <w:t>The military conflict between Russia and Ukraine has increased the likelihood of supply interruptions and made it difficult to conduct business operations, including clinical trials, in the region and in nearby countries. We originally planned to conduct the Phase 3 foresiGHt trial utilizing sites in Belarus and Russia, but instead we engaged with alternative sites for the study following the outbreak of conflict in Ukraine, which adversely affected patient enrollment. Such developments could negatively impact such operations or require use to delay or suspend clinical trial activities, which may increase product development costs and harm our business.</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Separately, on October 7, 2023, Hamas, an organization designated by the U.S. as a terrorist organization, launched a series of coordinated attacks from the Gaza Strip onto Israel. On October 8, 2023, Israel formally declared war on Hamas, and the armed conflict is ongoing as of the date of this filing. Hostilities between Israel and Hamas could escalate and involve surrounding countries in the Middle East. To date, we have not experienced any material interruptions in our infrastructure, supplies, technology systems, or networks needed to support our operations as a result of the conflict between Israel and Hamas.</w:t>
      </w:r>
    </w:p>
    <w:p>
      <w:pPr>
        <w:spacing w:after="0" w:line="16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We have no way to predict the progress, outcome or consequences of the military conflict in Ukraine or its impacts in Ukraine, Russia, Belarus, Europe, or the U.S, or of the conflict in the Israel-Gaza regions and any potential increases in hostilities in the Middle East. 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the COVID-19 outbreak, including developments involving subsequent COVID-19 variants, significantly affected the financial markets of many countries and resulted and may in the future result in a variety of regulatory orders, guidance and restrictions. Similarly, global climate change could result in certain types of natural disasters occurring more frequently or with more intense effects. Some of our corporate and operational functions, including certain of our oncology research facilities, are located in California, which has experienced severe earthquakes, droughts, fires and other natural disasters in the past. We do not have multiple-site capacity for all of our operations in the event of a business disruption. Furthermore, parties in our supply chain and our customers are similarly vulnerable to these global or regional economic, political, health, climate and other conditions and events. Global or regional economic, political, health, climate and other conditions and events could result in a variety of risks to our business, including our ability to raise capital when needed on acceptable terms, if at all. Any of the foregoing could harm our business and we cannot anticipate all of the ways in which such conditions and events could adversely impact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Regulatory and Legal Requirements</w:t>
      </w:r>
    </w:p>
    <w:p>
      <w:pPr>
        <w:spacing w:after="0" w:line="11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EMA, the FDA and comparable authorities are lengthy, time consuming, and inherently unpredictable. If we are ultimately unable to obtain regulatory approval for our product candidates, our business will be substantially harmed.</w:t>
      </w:r>
    </w:p>
    <w:p>
      <w:pPr>
        <w:spacing w:after="0" w:line="5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are subject to extensive regulation by the FDA, EU legislative bodies and other regulatory authorities in the United States, the EU and other jurisdictions, which regulations differ from country to country. We are not permitted to market any drug product in the United States until we receive marketing approval from the FDA. Equally, we are not permitted to market any drug product in the EU until we receive a marketing authorisation from the EC or EU member state competent authorities.</w:t>
      </w:r>
    </w:p>
    <w:p>
      <w:pPr>
        <w:spacing w:after="0" w:line="183" w:lineRule="exact"/>
        <w:rPr>
          <w:sz w:val="20"/>
          <w:szCs w:val="20"/>
          <w:color w:val="auto"/>
        </w:rPr>
      </w:pPr>
    </w:p>
    <w:p>
      <w:pPr>
        <w:jc w:val="both"/>
        <w:ind w:right="120"/>
        <w:spacing w:after="0" w:line="311" w:lineRule="auto"/>
        <w:rPr>
          <w:sz w:val="20"/>
          <w:szCs w:val="20"/>
          <w:color w:val="auto"/>
        </w:rPr>
      </w:pPr>
      <w:r>
        <w:rPr>
          <w:rFonts w:ascii="Times New Roman" w:cs="Times New Roman" w:eastAsia="Times New Roman" w:hAnsi="Times New Roman"/>
          <w:sz w:val="17"/>
          <w:szCs w:val="17"/>
          <w:color w:val="auto"/>
        </w:rPr>
        <w:t>Obtaining regulatory approval of an NDA, BLA or MAA, can be a lengthy, expensive and uncertain process. In addition, failure to comply with FDA and other applicable U.S., EU and foreign regulatory requirements may subject us to administrative or judicially imposed sanctions or other actions, including:</w:t>
      </w:r>
    </w:p>
    <w:p>
      <w:pPr>
        <w:spacing w:after="0" w:line="31"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9" w:name="page40"/>
    <w:bookmarkEnd w:id="39"/>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of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15"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NDAs or BLAs, MAA, or supplements to approved NDAs or BLAs or extensions or variations to marketing authorizations.</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obtaining approval to commercialize a drug or biological product candidate in the United States, the EU or other regions, we must demonstrate with substantial evidence from well-controlled clinical trials, and to the satisfaction of the EMA, the FDA or other similar regulatory authorities, that any drug product candidates are safe and effective for their intended uses, and that any biological product candidates are safe, pure and potent for their intended uses. The number of nonclinical studies and clinical trials that will be required for FDA, or EMA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Administering drug or biological product candidates to humans may produce undesirable side effects, which could interrupt, delay or halt clinical trials and result in the FDA or other regulatory authorities denying approval of a product candidate for any or all targeted indications.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authorities is unpredictable, typically takes many years following the commencement of clinical studies, and depends upon numerous factors. The EMA, the FDA and comparable authorities have substantial discretion in the approval process and we may encounter matters with the EMA, the FDA or such comparable authorities that requires us to expend additional time and resources and delay or prevent the approval of our product candidates. For example, the FDA or EMA may require us to conduct additional studies or trials for drug or biological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78" w:lineRule="exact"/>
        <w:rPr>
          <w:sz w:val="20"/>
          <w:szCs w:val="20"/>
          <w:color w:val="auto"/>
        </w:rPr>
      </w:pPr>
    </w:p>
    <w:p>
      <w:pPr>
        <w:ind w:left="1020" w:right="68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FDA or other comparable foreign regulatory authorities may disagree with the design or implementation of our, or any collaboration partners’, clinical studies;</w:t>
      </w:r>
    </w:p>
    <w:p>
      <w:pPr>
        <w:spacing w:after="0" w:line="55" w:lineRule="exact"/>
        <w:rPr>
          <w:rFonts w:ascii="Times New Roman" w:cs="Times New Roman" w:eastAsia="Times New Roman" w:hAnsi="Times New Roman"/>
          <w:sz w:val="18"/>
          <w:szCs w:val="18"/>
          <w:color w:val="auto"/>
        </w:rPr>
      </w:pPr>
    </w:p>
    <w:p>
      <w:pPr>
        <w:ind w:left="1020" w:right="10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55"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FDA or comparable foreign regulatory authorities may disagree with the interpretation of data from preclinical studies or clinical studies;</w:t>
      </w:r>
    </w:p>
    <w:p>
      <w:pPr>
        <w:spacing w:after="0" w:line="55"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an NDA or BLA, MAA, or other submission or to obtain regulatory approval in the United States, the EU or elsewhere;</w:t>
      </w:r>
    </w:p>
    <w:p>
      <w:pPr>
        <w:spacing w:after="0" w:line="55" w:lineRule="exact"/>
        <w:rPr>
          <w:rFonts w:ascii="Times New Roman" w:cs="Times New Roman" w:eastAsia="Times New Roman" w:hAnsi="Times New Roman"/>
          <w:sz w:val="18"/>
          <w:szCs w:val="18"/>
          <w:color w:val="auto"/>
        </w:rPr>
      </w:pPr>
    </w:p>
    <w:p>
      <w:pPr>
        <w:ind w:left="1020" w:right="32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unable to demonstrate to the EMA, the FDA or comparable foreign regulatory authorities that a product candidate’s risk-benefit ratio for its proposed indication is acceptable;</w:t>
      </w:r>
    </w:p>
    <w:p>
      <w:pPr>
        <w:spacing w:after="0" w:line="5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55" w:lineRule="exact"/>
        <w:rPr>
          <w:rFonts w:ascii="Times New Roman" w:cs="Times New Roman" w:eastAsia="Times New Roman" w:hAnsi="Times New Roman"/>
          <w:sz w:val="18"/>
          <w:szCs w:val="18"/>
          <w:color w:val="auto"/>
        </w:rPr>
      </w:pPr>
    </w:p>
    <w:p>
      <w:pPr>
        <w:ind w:left="1020" w:right="120" w:hanging="504"/>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40" w:name="page41"/>
    <w:bookmarkEnd w:id="40"/>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The EC’s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8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addition, even if we ultimately obtain approval for any product candidate,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similar risk management measures,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marketing authorizations for any of our product candidates that we develop as combination products.</w:t>
      </w:r>
    </w:p>
    <w:p>
      <w:pPr>
        <w:spacing w:after="0" w:line="1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developed a pen-injector device with Ypsomed to facilitate patient administration of TransCon PTH. We anticipate that, if successfully developed and approved in the United States, the pen-injector version of TransCon PTH would be regulated as a combination product by the FDA and other regulatory authorities. Combination products require coordination within the FDA and within comparable regulatory agencies for review of their drug and device components. For example, we understand the FDA’s review of the TransCon PTH NDA has included the participation of both the FDA’s Center for Drug Evaluation and Research and the FDA’s Center for Devices and Radiological Health. 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MAA must include – where available – the results of the assessment of the conformity of the device part with the EU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18"/>
          <w:szCs w:val="18"/>
          <w:color w:val="auto"/>
        </w:rPr>
        <w:t>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additional studies with the device which may delay the approval of the combination product. For example, in June 2021 the FDA notified us that information we submitted in connection with the FDA’s ongoing review of the BLA for lonapegsomatropin for the treatment of pediatric GHD constituted a major amendment to the BLA. Accordingly, the FDA extended the Prescription Drug User Fee Act goal date by three months, to September 25, 2021. Further, in April 2023 the FDA issued a CRL in response to our NDA for TransCon PTH, in which the FDA cited concerns related to the manufacturing control strategy for variability of delivered dose in the TransCon PTH drug/device combination product. Although we resubmitted our NDA in November 2023 and believe the resubmission addresses the FDA’s concerns related to the drug delivery device, there is no guarantee that the FDA will ultimately approve our resubmitted NDA, and we could experience further delays relating to the development of the combination product.</w:t>
      </w:r>
    </w:p>
    <w:p>
      <w:pPr>
        <w:spacing w:after="0" w:line="294"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Even after a regulatory approval for a product candidate, we are subject to ongoing regulatory obligations and review, which may result in significant additional expenses. Additionally, our products and product candidates, if approved, could be subject to labeling and other restrictions and we may be subject to penalties if we fail to comply with regulatory requirements or experience unanticipated problems with our products.</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governmental regulation of the development of products, including SKYTROFA (lonapegsomatropin-tcgd) in the U.S., SKYTROFA (lonapegsomatropin) and YORVIPATH (palopegteriparatide) in the EU, and our other product candidates extend beyond clinical studies to approval required for their sale and monitoring of such products after sale. This regulation, approval and monitoring is the responsibility of numerous authorities in the United States, the EU and authorities in other territories. Following any regulatory approval of a product candidate, we, any collaboration partners and the manufacturers of our products will be subject to continuing regulatory obligations, including safety reporting requirements, regulatory oversight of product promotion and marketing, and cGMP or similar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recordkeeping of our products. If we or any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or similar requirements and GCPs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under the Federal Food, Drug, and Cosmetic Act, particular restrictions are placed on the distribution of human growth hormone products, including TransCon hGH. The distribution of product samples to physicians must also comply with the requirements of the Prescription Drug Marketing Act. Manufacturing facilities for our products remain subject to periodic inspection by regulatory authorities and must continue to adhere to International Conference on Harmonisation of Technical Requirements for Registration of Pharmaceuticals for Human Use and the FDA’s cGMP requirements. Application holders must obtain FDA approval for many product and manufacturing changes, depending on the nature of the change. Sales, marketing, and scientific/educational grant programs must comply with the U.S. Anti-Kickback Statute, the False Claims Act, as amended and similar state laws. Certain payments and other transfers of value to U.S. licensed physicians (as defined under statute) and teaching hospitals must be reported under the Physician Payments Sunshine Act.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579" w:right="419" w:bottom="1440" w:gutter="0" w:footer="0" w:header="0"/>
        </w:sectPr>
      </w:pPr>
    </w:p>
    <w:bookmarkStart w:id="42" w:name="page43"/>
    <w:bookmarkEnd w:id="42"/>
    <w:p>
      <w:pPr>
        <w:spacing w:after="0" w:line="259"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FDA or foreign regulatory authorities,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or foreign regulatory authorities approval.</w:t>
      </w:r>
    </w:p>
    <w:p>
      <w:pPr>
        <w:spacing w:after="0" w:line="18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5"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or holds on clinical trials;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80"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future or ongoing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contract manufacturers’ operations;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addition, the FDA’s and foreign regulatory authorities’ policies may change and additional government laws or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Within the EU, once a marketing authorisation is obtained, numerous post-approval requirements similar to the above ones also apply, and as in the United States, advertising and promotional activities for the product must be consistent with the approved summary of product characteristics and therefore off-label promotion of medicinal products is not permitted. Furthermore, the advertising and promotion of medicinal products is also subject to laws concerning promotion of medicinal products, interactions with physicians, misleading and comparative advertising and unfair commercial practices. Direct-to-consumer advertising of prescription medicines is also prohibited in the EU. The requirements are regulated by both EU regulations as well as national applicable regulations.</w:t>
      </w:r>
    </w:p>
    <w:p>
      <w:pPr>
        <w:spacing w:after="0" w:line="18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The regulatory requirements relating to the manufacturing, testing, marketing and sale of pharmaceutical products are subject to periodic change. This may impact our development plans. Changes in the regulations governing us could increase costs and adversely affect our business.</w:t>
      </w:r>
    </w:p>
    <w:p>
      <w:pPr>
        <w:spacing w:after="0" w:line="1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companies developing pharmaceutical products are facing increased demands to publish clinical trial results. Any such publication by us may, in addition to the additional cost of the publication, lead to investors misinterpreting the published data due to its technical and scientific nature, which, in turn, may adversely affect our business, results of operations and prospects and the value of our shares or ADSs.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3" w:name="page44"/>
    <w:bookmarkEnd w:id="43"/>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medical devices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at domestic and foreign manufacturing facilities from March 2020 until July 2021. Even though the FDA has resumed standard inspection operations, any resurgence of the virus may lead to other inspectional or administrative delays.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7"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in the United States are essential for most patients to be able to afford treatments such as our products or product candidates, if approved. Our ability to achieve acceptable levels of coverage and reimbursement for drug treatments by governmental authorities, private health insurers and other organizations will have an effect on our ability to successfully commercialize our products, and potentially attract additional collaboration partners to invest in the development of our product candidates. We cannot be sure that adequate coverage and reimbursement in the United States, the EU or elsewhere will be available for our products or any products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products or product candidates, if approved, and the generic or biosimilar parent drug as substitutable and only offer to reimburse patients for the generic drug. Even if we show improved efficacy or improved convenience of administration with our products or product candidates, if approved, pricing of the existing parent drug may limit the amount we will be able to charge for such product. If reimbursement is not available or is available only at limited levels, we may not be able to successfully commercialize our products or product candidates, and may not be able to obtain a satisfactory financial return on products that we may develop.</w:t>
      </w:r>
    </w:p>
    <w:p>
      <w:pPr>
        <w:spacing w:after="0" w:line="18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products or product candidates.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44" w:name="page45"/>
    <w:bookmarkEnd w:id="44"/>
    <w:p>
      <w:pPr>
        <w:ind w:right="20"/>
        <w:spacing w:after="0" w:line="251"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and product candidates, if approved, and on related parent drugs. In many countries, the prices of medical products are subject to varying price control mechanisms as part of national health systems. Many countries, including the EU member states, established complex and lengthy procedures to obtain price approvals, coverage and reimbursement. These procedures vary from country to country but are commonly initiated after grant of the related marketing authorization. More particularly, in the EU, potential reductions in prices and changes in reimbursement levels could be the result of different factors, including reference pricing systems.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Other countries allow companies to fix their own prices for medical products, but monitor and control company profits. Additional foreign price controls or other changes in pricing regulation could restrict the amount that we are able to charge for our products or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19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products or product candidates. We expect to experience pricing pressures in connection with the sale of our products and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spacing w:after="0" w:line="291" w:lineRule="exact"/>
        <w:rPr>
          <w:sz w:val="20"/>
          <w:szCs w:val="20"/>
          <w:color w:val="auto"/>
        </w:rPr>
      </w:pPr>
    </w:p>
    <w:p>
      <w:pPr>
        <w:ind w:right="820"/>
        <w:spacing w:after="0" w:line="316" w:lineRule="auto"/>
        <w:rPr>
          <w:sz w:val="20"/>
          <w:szCs w:val="20"/>
          <w:color w:val="auto"/>
        </w:rPr>
      </w:pPr>
      <w:r>
        <w:rPr>
          <w:rFonts w:ascii="Times New Roman" w:cs="Times New Roman" w:eastAsia="Times New Roman" w:hAnsi="Times New Roman"/>
          <w:sz w:val="17"/>
          <w:szCs w:val="17"/>
          <w:b w:val="1"/>
          <w:bCs w:val="1"/>
          <w:i w:val="1"/>
          <w:iCs w:val="1"/>
          <w:color w:val="auto"/>
        </w:rPr>
        <w:t>We and contract manufacturers are subject to significant regulation with respect to manufacturing our products and product candidates. The manufacturing facilities on which we rely may not continue to meet regulatory requirements or may not be able to meet supply demands.</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depend on third-parties to manufacture products employing our TransCon technologies. Components of a finished therapeutic product approved for commercial sale or used in late-stage clinical studies must be manufactured in accordance with cGMP or similar requirements outside the United States.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our products and product candidates for clinical studies or commercial sale, including our existing contract manufacturers for our products and product candidates, are subject to extensive regulation. Manufacturing facilities are subject to pre-approval and ongoing periodic inspection by the FDA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BLA, MAA or comparable regulatory filing on a timely basis and must adhere to cGMP or similar regulations enforced by the FDA and other regulatory authorities through their facilities inspection programs.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5" w:name="page46"/>
    <w:bookmarkEnd w:id="45"/>
    <w:p>
      <w:pPr>
        <w:ind w:right="40"/>
        <w:spacing w:after="0" w:line="255"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suspension of production or closure of a facility. Any such remedial measures imposed upon us or third-parties with whom we contract could harm our business.</w:t>
      </w:r>
    </w:p>
    <w:p>
      <w:pPr>
        <w:spacing w:after="0" w:line="18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submission and subsequent approval of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 Furthermore, interruption or delay in supplies from one contract manufacturer may cause delays further down the supply chain, as certain contract manufacturers may rely on delivery of materials from other contract manufacturers.</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79"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hazardous materials and we and third-parties with whom we contract must comply with environmental laws and regulations, which can be expensive and restrict how we do business.</w:t>
      </w:r>
    </w:p>
    <w:p>
      <w:pPr>
        <w:spacing w:after="0" w:line="5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6" w:name="page47"/>
    <w:bookmarkEnd w:id="46"/>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matters, including related social expectations and concerns, may impose unexpected costs on us or result in reputational or other harm to us that could have a material adverse effect on our business, financial condition and results of operations.</w:t>
      </w:r>
    </w:p>
    <w:p>
      <w:pPr>
        <w:spacing w:after="0" w:line="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There is an increasing focus and rapid and ongoing developments and changing expectations from certain investors, customers, consumers, employees and other stakeholders concerning environmental, social and corporate governance (“ESG”) matters. Additionally, public interest and legislative pressure related to public companies’ ESG practices continue to grow, which may result in increased regulatory, social or other scrutiny on us.</w:t>
      </w:r>
    </w:p>
    <w:p>
      <w:pPr>
        <w:spacing w:after="0" w:line="17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8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We may be required to make investments in matters related to ESG, which could be significant. Our failure or perceived failure to meet the standards set by various constituencies could damage our reputation and our relationships with investors, governments, customers, employees, third parties and the communities in which we operate and expose us to increased regulatory risk, put us at a commercial disadvantage relative to our peers and materially adversely affect our business, financial condition, results of operations, ability to participate in debt and equity markets and the value of our shares or ADSs.</w:t>
      </w:r>
    </w:p>
    <w:p>
      <w:pPr>
        <w:spacing w:after="0" w:line="271" w:lineRule="exact"/>
        <w:rPr>
          <w:sz w:val="20"/>
          <w:szCs w:val="20"/>
          <w:color w:val="auto"/>
        </w:rPr>
      </w:pPr>
    </w:p>
    <w:p>
      <w:pPr>
        <w:ind w:right="6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EU, FDA and other local regulations related to the promotion of our products for unapproved uses, we could be subject to criminal penalties, substantial fines or other sanctions and damage awards.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and other regulatory authorities, as well as courts. For example, our first product SKYTROFA (lonapegsomatropin-tcgd) was approved by the FDA on August 25, 2021 for the treatment of pediatric patients 1 year and older who weigh at least 11.5 kg and have growth failure due to inadequate secretion of endogenous growth hormone, and we are restricted from marketing SKYTROFA and any other product candidate that receives marketing approval outside of its approved labeling, also referred to as off-label promotion. However, physicians may nevertheless lawfully prescribe an approved product to their patients in a manner that is inconsistent with the approved label, which is an off-label use. The FDA or other government authorities may allege or find that our practices constitute prohibited promotion for unapproved uses.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7" w:name="page48"/>
    <w:bookmarkEnd w:id="47"/>
    <w:p>
      <w:pPr>
        <w:ind w:right="20"/>
        <w:spacing w:after="0" w:line="257"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7"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or similar foreign regulations, including those laws that require the reporting of true, complete and accurate information to the FDA or foreign regulatory authorities; (2) manufacturing standards; (3) U.S. federal and state fraud and abuse and other healthcare laws and regulations including foreign requirements;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or falsification of clinical trial data,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or non U.S. healthcare programs, imprisonment, contractual damages, reputational harm, diminished profits and future earnings, and curtailment of our operations, any of which could adversely affect our ability to operate our business and our results of operations.</w:t>
      </w:r>
    </w:p>
    <w:p>
      <w:pPr>
        <w:spacing w:after="0" w:line="298"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global anti-corruption laws, including but not limited to the U.S. Foreign Corrupt Practices Act, and non-compliance with such laws can subject us to criminal or civil liability and harm our business, financial condition and results of operations.</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business activities may be subject to the Foreign Corrupt Practices Act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8" w:name="page49"/>
    <w:bookmarkEnd w:id="48"/>
    <w:p>
      <w:pPr>
        <w:ind w:right="80"/>
        <w:spacing w:after="0" w:line="253" w:lineRule="auto"/>
        <w:rPr>
          <w:sz w:val="20"/>
          <w:szCs w:val="20"/>
          <w:color w:val="auto"/>
        </w:rPr>
      </w:pPr>
      <w:r>
        <w:rPr>
          <w:rFonts w:ascii="Times New Roman" w:cs="Times New Roman" w:eastAsia="Times New Roman" w:hAnsi="Times New Roman"/>
          <w:sz w:val="18"/>
          <w:szCs w:val="18"/>
          <w:color w:val="auto"/>
        </w:rPr>
        <w:t>There is no certainty that all of our employees, agents, contractors, or collaborators, or those of our affiliates, will comply with all applicable laws and regulations, particularly given the high level of complexity of these requirements. We have adopted a code of conduct, but it is not always possible to identify and deter employee misconduct, and the precautions we take to detect and prevent this activity may be ineffective in controlling unknown or unmanaged risks or losses or in protecting us from allegations, governmental investigations or other actions or lawsuits stemming from a failure to comply with these requirements. If any such actions are instituted against us, and we are not successful in defending ourselves or asserting our rights, those actions could have a significant impact on our business,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Investigations of alleged violations can also be disruptive and cause us to incur significant legal and investigatory fees.</w:t>
      </w:r>
    </w:p>
    <w:p>
      <w:pPr>
        <w:spacing w:after="0" w:line="292" w:lineRule="exact"/>
        <w:rPr>
          <w:sz w:val="20"/>
          <w:szCs w:val="20"/>
          <w:color w:val="auto"/>
        </w:rPr>
      </w:pPr>
    </w:p>
    <w:p>
      <w:pPr>
        <w:ind w:right="8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28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August 2012, the SEC adopted a rule requiring disclosures of specified minerals, known as conflict minerals, that are necessary to the functionality or production of products manufactured or contracted to be manufactured by U.S.-listed companies. The conflict minerals rule requires companies annually to diligence, disclose and report whether or not such minerals originate from the Democratic Republic of Congo and/or adjoining countries of Angola, Burundi, Central African Republic, the Republic of the Congo, Rwanda, South Sudan, Tanzania, Uganda, and Zambia. The rule could affect sourcing at competitive prices and availability in sufficient quantities of certain minerals, including gold and tin, which are necessary to the functionality of our products, including our TransCon hGH auto-injector.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Due to the depth and complexity of the supply chain, we may not be able to sufficiently verify the origins of the relevant minerals used in our products through the due diligence procedures that we implement or the information that we receive from our suppliers may be inaccurate or inadequate, which may harm our reputation or subject us to SEC enforcement risks. In addition, we may encounter challenges to satisfy those customers who require that all of the components of our products be certified as conflict-free, which could place us at a competitive disadvantage if we are unable to do so.</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non-U.S. jurisdictions would prevent us from marketing our products outside of the United States.</w:t>
      </w:r>
    </w:p>
    <w:p>
      <w:pPr>
        <w:spacing w:after="0" w:line="1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order to market our products outside of the United States, we, or any potential partner, must obtain separate regulatory approvals and comply with numerous and varying regulatory requirements of other countries regarding safety and efficacy and governing, among other things, clinical trials and commercial sales, pricing and distribution of our products. The time required to obtain approval in other countries might differ from and be longer than that required to obtain FDA approval. The regulatory approval process in other countries may include all of the risks detailed in these “Risk Factors”, as well as other risks.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49" w:name="page50"/>
    <w:bookmarkEnd w:id="49"/>
    <w:p>
      <w:pPr>
        <w:ind w:right="40"/>
        <w:spacing w:after="0" w:line="280"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authorisation. For additional information, see “Item 4 B. Information on the Company – Business Overview – Foreign Regulation.”</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Outside the U.S. and the EU, approval procedures vary among countries and can involve additional clinical testing, and the time required to obtain approval may differ from that required to obtain FDA or EU approval. Clinical trials conducted in one country may not be accepted by regulatory authorities in other countries. Approval by the FDA, EC, or EU member state competent authorities does not ensure approval by regulatory authorities in other countries, and approval by one or more foreign regulatory authorities does not ensure approval by regulatory authorities in other foreign countries or by the FDA, EC, or EU member states competent authorities. However, a failure or delay in obtaining regulatory approval in one country may have a negative effect on the regulatory process in others. The foreign regulatory approval process may include all of the risks associated with obtaining FDA approval, EC, or EU member states competent authority. We may not be able to file for regulatory approvals or to do so on a timely basis, and even if we do file, we may not receive necessary approvals to commercialize our products in any market.</w:t>
      </w:r>
    </w:p>
    <w:p>
      <w:pPr>
        <w:spacing w:after="0" w:line="28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regulation and enforcement; our failure to comply with these laws could harm our results of operations and financial conditions.</w:t>
      </w:r>
    </w:p>
    <w:p>
      <w:pPr>
        <w:spacing w:after="0" w:line="5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We are subject to healthcare, statutory and regulatory requirements and enforcement by the U.S. federal government and the states and foreign governments in which we conduct our business. The laws that affect our ability to operate include:</w:t>
      </w:r>
    </w:p>
    <w:p>
      <w:pPr>
        <w:spacing w:after="0" w:line="55" w:lineRule="exact"/>
        <w:rPr>
          <w:sz w:val="20"/>
          <w:szCs w:val="20"/>
          <w:color w:val="auto"/>
        </w:rPr>
      </w:pPr>
    </w:p>
    <w:p>
      <w:pPr>
        <w:ind w:left="1020" w:right="100" w:hanging="504"/>
        <w:spacing w:after="0" w:line="257"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1020" w:right="140" w:hanging="504"/>
        <w:spacing w:after="0" w:line="259"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U.S.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auto"/>
        </w:rPr>
      </w:pPr>
    </w:p>
    <w:p>
      <w:pPr>
        <w:ind w:left="1020" w:right="160" w:hanging="504"/>
        <w:spacing w:after="0" w:line="280"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criminal laws that prohibit executing a scheme to defraud any healthcare benefit program or making false statements relating to healthcare matters;</w:t>
      </w:r>
    </w:p>
    <w:p>
      <w:pPr>
        <w:spacing w:after="0" w:line="55" w:lineRule="exact"/>
        <w:rPr>
          <w:rFonts w:ascii="Times New Roman" w:cs="Times New Roman" w:eastAsia="Times New Roman" w:hAnsi="Times New Roman"/>
          <w:sz w:val="18"/>
          <w:szCs w:val="18"/>
          <w:color w:val="auto"/>
        </w:rPr>
      </w:pPr>
    </w:p>
    <w:p>
      <w:pPr>
        <w:ind w:left="1020" w:right="80" w:hanging="504"/>
        <w:spacing w:after="0" w:line="257"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100" w:hanging="504"/>
        <w:spacing w:after="0" w:line="287"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52" w:lineRule="exact"/>
        <w:rPr>
          <w:rFonts w:ascii="Times New Roman" w:cs="Times New Roman" w:eastAsia="Times New Roman" w:hAnsi="Times New Roman"/>
          <w:sz w:val="17"/>
          <w:szCs w:val="17"/>
          <w:color w:val="auto"/>
        </w:rPr>
      </w:pPr>
    </w:p>
    <w:p>
      <w:pPr>
        <w:ind w:left="1020" w:right="20" w:hanging="504"/>
        <w:spacing w:after="0" w:line="268"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Physician Payments Sunshine Act, which requires certain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under statute) and their immediate family members;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0" w:name="page51"/>
    <w:bookmarkEnd w:id="50"/>
    <w:p>
      <w:pPr>
        <w:ind w:left="1020" w:right="320" w:hanging="504"/>
        <w:spacing w:after="0" w:line="280"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consumers;</w:t>
      </w:r>
    </w:p>
    <w:p>
      <w:pPr>
        <w:spacing w:after="0" w:line="55"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U.S. federal laws, such as anti-kickback and false claims laws which may apply to items or services reimbursed by any third-party payor, including commercial insurers;</w:t>
      </w:r>
    </w:p>
    <w:p>
      <w:pPr>
        <w:spacing w:after="0" w:line="55"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w:t>
      </w:r>
    </w:p>
    <w:p>
      <w:pPr>
        <w:spacing w:after="0" w:line="67"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 and pricing information; and</w:t>
      </w:r>
    </w:p>
    <w:p>
      <w:pPr>
        <w:spacing w:after="0" w:line="55" w:lineRule="exact"/>
        <w:rPr>
          <w:rFonts w:ascii="Times New Roman" w:cs="Times New Roman" w:eastAsia="Times New Roman" w:hAnsi="Times New Roman"/>
          <w:sz w:val="18"/>
          <w:szCs w:val="18"/>
          <w:color w:val="auto"/>
        </w:rPr>
      </w:pPr>
    </w:p>
    <w:p>
      <w:pPr>
        <w:ind w:left="1020" w:right="660" w:hanging="504"/>
        <w:spacing w:after="0" w:line="280"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regulation regarding advertising of medicinal products and reporting requirements detailing interactions with and payments to healthcare providers.</w:t>
      </w:r>
    </w:p>
    <w:p>
      <w:pPr>
        <w:spacing w:after="0" w:line="16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activities being found in violation of these laws is increased by the fact that many of them have not been fully interpreted by the regulatory authorities or the courts, and their provisions are open to a variety of interpretations.</w:t>
      </w:r>
    </w:p>
    <w:p>
      <w:pPr>
        <w:spacing w:after="0" w:line="16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significant penalties, including civil and criminal penalties, damages, fines, the curtailment or restructuring of our operations, the exclusion from participation in U.S. federal and state and/or foreign healthcare programs and imprisonment, any of which could adversely affect our ability to market our products and adversely impact our financial results.</w:t>
      </w:r>
    </w:p>
    <w:p>
      <w:pPr>
        <w:spacing w:after="0" w:line="287"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Complying with these numerous, complex and often changing regulations is expensive and difficult, and any failure or perceived failure to comply with any data privacy laws or security laws, our policies and procedures, our contracts governing our processing of personal information or any security incident or breach involving the misappropriation, loss or other unauthorized use or disclosure of sensitive or confidential patient or consumer information, whether by us, one of our partners or another third-party, could adversely affect our business, financial condition and results of operations, and could result in negative publicity, government investigations and enforcement actions, claims by third-parties and damage to our reputation, any of which could have a material adverse effect on our operations, financial performance and business.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51" w:name="page52"/>
    <w:bookmarkEnd w:id="51"/>
    <w:p>
      <w:pPr>
        <w:spacing w:after="0" w:line="251"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Even when HIPAA or a state law does not apply, according to the FTC, violating consumers’ privacy rights or failing to take appropriate steps to keep consumers’ personal information secure may constitute unfair and/or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spacing w:after="0" w:line="18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Europe, the General Data Protection Regulation (the “GDPR”) imposes strict requirements for processing the personal data of individuals within the European Economic Area (“EEA”), including clinical trial data, or in the context of our activities within the EEA. For example, the GDPR requires us to make detailed disclosures to data subjects, requires disclosure of the legal basis on which we can process personal data, makes it harder for us to obtain valid consent for processing and in other cases prevents the use of consent as legal basis for processing of personal data, requires the appointment of data protection officers when sensitive personal data, such as health data, is processed on a large scale, provides robust rights for data subjects, imposes mandatory data breach notification through the EU and EEA, imposes additional obligations on us when contracting with service providers and requires us to adopt appropriate privacy governance including policies, procedures, training and data audit. In addition, some of the personal data we process in respect of clinical trial participants may be considered special category or sensitive personal data under the GDPR, and subject to additional compliance obligations and to local law derogations.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2" w:name="page53"/>
    <w:bookmarkEnd w:id="52"/>
    <w:p>
      <w:pPr>
        <w:ind w:right="40"/>
        <w:spacing w:after="0" w:line="251"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Economic Area, or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We currently rely on the EU standard contractual clauses and, to the extent relevant, the UK Addendum to the EU standard contractual clauses and the UK International Data Transfer Agreement as relevant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Relatedly, from January 1, 2021, companies have had to comply with both the GDPR and the UK GDPR, the latter regime having the ability to separately fine up to the greater of £17.5 million or 4% of global turnover. On October 12, 2023, the UK Extension to the DPF came into effect (as approved by the UK Government), as a UK GDPR data transfer mechanism to U.S. entities self-certified under the UK Extension to the DPF. As we continue to expand into other foreign countries and jurisdictions, we may be subject to additional laws and regulations that may affect how we conduct business.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the Council of the European Union adopted the NIS2 Directive on November 28, 2022, which replaced and repealed the existing EU Directive on the Security of Network and Information Systems. The NIS2 Directive establishes cybersecurity risk management measures and reporting requirements for highly critical sectors, including for manufacturers of medical devices. This includes requirements to implement appropriate technical and operational measures to manage security risks, including measures with respect to business continuity, incident handling, encryption, and data access control. Important entities and essential entities will also be required to report cybersecurity incidents within specified timeframes. The NIS2 Directive became effective on January 16, 2023, with EU member states having 21 months from such effective date to then incorporate the NIS2 Directive into their national law. The NIS2 Directive requires EU member states to impose administrative fines for breaches of the NIS2 Directive of up to €7 million or 1.4% of the total worldwide turnover of the entity for the preceding financial year, whichever is greater for certain “important entities”. Other entities, considered “essential entities” may be subject to administrative fines for breaches of the NIS2 Directive of up to €10 million or 2% of the total worldwide turnover of the entity for the preceding financial year, whichever is greater.</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3" w:name="page54"/>
    <w:bookmarkEnd w:id="53"/>
    <w:p>
      <w:pPr>
        <w:ind w:right="1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and in foreign jurisdictions may make it more difficult and costly for us to obtain regulatory clearance or approval of our product candidates in the United States and in foreign jurisdictions and to produce, market and distribute our products in the United States and in foreign jurisdictions after clearance or approval is obtained.</w:t>
      </w:r>
    </w:p>
    <w:p>
      <w:pPr>
        <w:spacing w:after="0" w:line="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Similar risks exist in foreign jurisdictions. We cannot determine what effect changes in regulations, statutes, legal interpretation or policies, when and if promulgated, enacted or adopted may have on our business in the future. Such changes could, among other things, require:</w:t>
      </w:r>
    </w:p>
    <w:p>
      <w:pPr>
        <w:spacing w:after="0" w:line="76" w:lineRule="exact"/>
        <w:rPr>
          <w:sz w:val="20"/>
          <w:szCs w:val="20"/>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22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6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the trend toward managed healthcare in the United States and the changes in health insurance programs, as well as legislative proposals to reform healthcare or reduce government insurance programs, may result in lower prices for pharmaceutical products, including any products that may be offered by us. In addition, any future regulatory change regarding the healthcare industry or third-party coverage and reimbursement may affect demand for any products that we may develop and could harm our sales and profitability. For example,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established annual fees and taxes on manufacturers of certain branded prescription drugs and medical devices, and created a new Medicare Part D coverage gap discount program, in which manufacturers must agree to offer 50% point-of-sale discounts, which, through subsequent legislative amendments, was increased to 70%, starting in 2019, off negotiated prices of applicable brand drugs to eligible beneficiaries during their coverage gap period as a condition for the manufacturer’s outpatient drugs to be covered under Medicare Part D.</w:t>
      </w:r>
    </w:p>
    <w:p>
      <w:pPr>
        <w:spacing w:after="0" w:line="1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provisions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will impact our business.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including reductions in Medicare payments to providers, which went into effect on April 1, 2013 and will stay in effect through 2032, with the exception of a temporary suspension from May 1, 2020 through March 31, 2022, unless additional Congressional action is taken. Further, the American Taxpayer Relief Act of 2012 reduced Medicare payments to several types of providers, including hospitals, and increased the statute of limitations period for the government to recover overpayments to providers from three to five years. Further, in March 2021, the American Rescue Plan Act of 2021 was signed into law, which, among other things, eliminated the statutory cap on drug manufacturers’ Medicaid Drug Rebate Program rebate liability effective January 1, 2024. The rebate was previously capped at 100% of the average manufacturer price for a covered outpatient drug. These new laws may result in additional reductions in Medicare and other healthcare funding and otherwise affect the prices we may obtain for our products.</w:t>
      </w:r>
    </w:p>
    <w:p>
      <w:pPr>
        <w:spacing w:after="0" w:line="185"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Most recently, in August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and the impact of the IRA on our business and the pharmaceutical industry cannot yet be fully determined. Further,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Individual states in the United States have also become increasingly active in passing legislation and implementing regulations designed to control pharmaceutical product pricing, including through constraints on reimbursement, imposition of mandatory discounts, discounts, restrictions on access to certain products, transparency measures, and programs for importation from other countries or bulk purchasing.</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our products or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including TransCon hGH,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89"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5" w:name="page56"/>
    <w:bookmarkEnd w:id="55"/>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While the Regulation entered into force in January 2022, it will only begin to apply from January 12,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our products and product candidates is not adequate, we may not be able to compete effectively in our market.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depends in part on our ability to:</w:t>
      </w:r>
    </w:p>
    <w:p>
      <w:pPr>
        <w:spacing w:after="0" w:line="116" w:lineRule="exact"/>
        <w:rPr>
          <w:sz w:val="20"/>
          <w:szCs w:val="20"/>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obtain, maintain and enforce patents;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upon the proprietary rights of others.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will be able to protect our proprietary technologies from unauthorized use by third-parties only to the extent that such proprietary rights are covered by valid and enforceable patents or are effectively maintained as trade secrets. Any non-confidential disclosure to or misappropriation by third-parties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w:t>
      </w:r>
    </w:p>
    <w:p>
      <w:pPr>
        <w:spacing w:after="0" w:line="18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As of December 31, 2023, 51 patents have been issued to us in the United States, 21 of which are directed to our TransCon technologies, nine of which are directed to TransCon hGH, seven of which are directed to TransCon CNP, one of which is directed to a combination of TransCon hGH and TransCon CNP, three of which are directed to TransCon PTH and nine of which are directed to the TransCon hGH autoinjector. In addition, as of December 31, 2023, we have over 270 issued patents in jurisdictions outside of the United States, at least 84 of which are directed to our TransCon technologies, and 129 of which are directed to TransCon hGH and/or our other product candidates. For additional information, see “Item 4 B. Information on the Company – Business Overview – Intellectual Property.” We are not aware of any challenge to our issued patents, in the United States, Europe or in any other jurisdiction.</w:t>
      </w:r>
    </w:p>
    <w:p>
      <w:pPr>
        <w:spacing w:after="0" w:line="1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inventorship, although we are unaware of any such defects. If we or our current licensors or licensees, or any future licensors or licensees, fail to establish, maintain or protect such patents and other intellectual property rights, including due to the impact of the COVID-19 pandemic on our or our licensors’ business operations, such rights may be reduced or eliminated.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patent applications may be invalid and unenforceable. Any of these outcomes could impair our ability to prevent competition from third-parties, which may harm our business.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On June 1, 2023, the European Unitary Patent system and the European Unified Patent Court (“UPC”) were successfully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third-parties can raise questions of validity with a patent office even before a patent has been granted. Furthermore, even if they are unchallenged, our patents and patent applications may not adequately protect our intellectual property or prevent others from designing around our claims. For example, a third-party may develop a competitive product that provides therapeutic benefits similar to one or more of our products or product candidates but that has a different composition that falls outside the scope of our patent protection. If the breadth or strength of protection provided by the patents and patent applications we hold or pursue with respect to our products or product candidates is successfully challenged, then our ability to commercialize our products or product candidates could be negatively affected, and we may face unexpected competition that could harm our business. Further, patents have a limited lifespan and patent terms may be inadequate to protect our competitive position on our product candidates for an adequate amount of time. In the United States, if all maintenance fees are paid timely, the natural expiration of a patent is generally 20 years after its first effective filing date excluding U.S. provisional patent applications. Given the amount of time required for the development, testing and regulatory review of new product candidates, patents protecting such candidates might expire before or shortly after such product candidates are commercialized. Although various extensions may be available, the life of a patent, and the protection it affords, is limited. If we encounter delays in our clinical trials, the period of time during which we could market our products or product candidates, if approved, under patent protection would be reduced. If we do not have sufficient patent life to protect our products, our business and results of operations will be adversely affected.</w:t>
      </w:r>
    </w:p>
    <w:p>
      <w:pPr>
        <w:spacing w:after="0" w:line="192"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55" w:lineRule="exact"/>
        <w:rPr>
          <w:sz w:val="20"/>
          <w:szCs w:val="20"/>
          <w:color w:val="auto"/>
        </w:rPr>
      </w:pPr>
    </w:p>
    <w:p>
      <w:pPr>
        <w:ind w:left="1020" w:right="400" w:hanging="504"/>
        <w:spacing w:after="0" w:line="280"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invent or the first to file the inventions covered by each of our pending patent applications and issued patents;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5" w:lineRule="exact"/>
        <w:rPr>
          <w:rFonts w:ascii="Times New Roman" w:cs="Times New Roman" w:eastAsia="Times New Roman" w:hAnsi="Times New Roman"/>
          <w:sz w:val="18"/>
          <w:szCs w:val="18"/>
          <w:color w:val="auto"/>
        </w:rPr>
      </w:pPr>
    </w:p>
    <w:p>
      <w:pPr>
        <w:ind w:left="1020" w:right="380" w:hanging="504"/>
        <w:spacing w:after="0" w:line="260"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we obtain or our in-licensed issued patents may not encompass commercially viable products or product candidates, may not provide us with any competitive advantages or may be challenged by third-parties;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57" w:name="page58"/>
    <w:bookmarkEnd w:id="57"/>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we obtain or our in-licensed issued patents may not be valid or enforceable, or the scope may be narrowed;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we or our current licensors or licensees, or any future licensors or licensees, fail to prosecute, maintain and enforce patent protection for our products or product candidates, our ability to develop and commercialize our products or product candidates could be harmed and we might not be able to prevent competitors from making, using, selling, importing or otherwise exploiting competing products or product candidates. This failure to properly protect the intellectual property rights relating to our products or product candidates could harm our business, financial condition and operating results. Moreover, our competitors may independently develop equivalent knowledge, methods and know-how on their own without relying on our proprietary technologies or information.</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litigation or any other dispute resolution proceedings necessary to enforce and determine the scope of our proprietary rights may be costly and time-consuming, and the outcome of such litigation or dispute resolution proceedings would be uncertain. If we were to initiate legal proceedings against a third-party to enforce a patent covering one of our products or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our products or product candidates, we would lose at least part, and perhaps all, of the patent protection on such product or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30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license intellectual property rights from third-parties. Such licenses may be subject to early termination if we fail to comply with our obligations in our licenses with third-parties, which could result in the loss of rights or technology that are material to our business.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or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or product candidates using the licensed technology. If we fail to comply with these obligations, including due to the impact of global pandemics, on our business operations or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products or product candidates.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58" w:name="page59"/>
    <w:bookmarkEnd w:id="58"/>
    <w:p>
      <w:pPr>
        <w:ind w:right="40"/>
        <w:spacing w:after="0" w:line="252"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products or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products or product candidates that we may seek to acquire. The failure to obtain or in-license any compositions, methods of use, processes or other third-party intellectual property rights at a reasonable cost or on reasonable terms,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prevent disclosure of our trade secrets or other confidential information to third-parties, our competitive position may be impaired.</w:t>
      </w:r>
    </w:p>
    <w:p>
      <w:pPr>
        <w:spacing w:after="0" w:line="1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 generally require all of our employees, consultants, advisors and any third-parties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Costly and time-consuming litigation could be necessary to enforce and determine the scope of our proprietary rights, and failure to obtain or maintain trade secret protection could adversely affect our competitive business position. Furthermore, the laws of some foreign countries do not protect proprietary rights to the same extent or in the same manner as the laws of the United States.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The failure to obtain or maintain trade secret protection could adversely affect our competitive business position.</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59" w:name="page60"/>
    <w:bookmarkEnd w:id="59"/>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allegedly infringing intellectual property rights of third parties, it will be costly and time consuming, and an unfavorable outcome in such litigation could harm our business.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violating or misappropriating the patents and other proprietary rights of third-parties. Our own technologies, products or product candidates may infringe, violate or misappropriate the patents or other proprietary rights of third-parties, or we may be subject to third-party claims of such infringement. Numerous U.S. and foreign issued patents and pending patent applications owned by third-parties exist in the fields in which we are developing our products and product candidates. Additionally, we are aware of patents owned by a competitor that are related to CNP variants. Although we believe that these patents are not infringed by us and/or are invalid, we could be wrong in our assessment. We cannot be certain that our technologies, products and product candidates will not infringe these or other existing or future patents of third-parties.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Additionally,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import or sale of our technologies, products or product candidates. We may not be aware of patents that have already issued that a third-party might assert are infringed by our technologies, products or product candidates. It is also possible that patents of which we are aware, but which we do not believe are relevant to our technologies, products or product candidates, could nevertheless be found to be infringed by our products or product candidates. Moreover, we may face patent infringement claims from non-practicing entities that have no relevant product revenue and against whom our own patent portfolio may thus have no deterrent effect.</w:t>
      </w:r>
    </w:p>
    <w:p>
      <w:pPr>
        <w:spacing w:after="0" w:line="19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addition, we may face costly and time-consuming intellectual property litigation with the NDA holders, BLA holders and Orange Book patentees of the products in respect of which we seek to obtain FDA approval. Companies that produce branded biopharmaceutical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and BLA applications to the FDA or as a result of submitting an MAA with the EMA.</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Intellectual property litigation involves many risks and uncertainties, and there is no assurance that we will prevail in any lawsuit brought against us. Third-parties making claims against us for infringement, violation or misappropriation of their intellectual property rights may seek and obtain injunctive or other equitable relief, which could effectively block our ability to further develop and commercialize our products and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third-parties and we may be prevented from pursuing product or product candidate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may be restricted or prevented from manufacturing and selling products employing our technologies. These adverse results, if they occur, could adversely affect our business, results of operations and prospects, and the value of our shares or ADSs.</w:t>
      </w:r>
    </w:p>
    <w:p>
      <w:pPr>
        <w:spacing w:after="0" w:line="296"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Litigation may be necessary to:</w:t>
      </w:r>
    </w:p>
    <w:p>
      <w:pPr>
        <w:spacing w:after="0" w:line="116" w:lineRule="exact"/>
        <w:rPr>
          <w:sz w:val="20"/>
          <w:szCs w:val="20"/>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our patents and any future patents issuing on our patent applications;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or clarify the terms of the licenses we have granted or may be granted in the future;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trade secrets, know-how and other proprietary rights that we own or have licensed, or may license in the future;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third-parties and defend against alleged patent infringement.</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As a result, we may be required to file infringement claims to stop third-party infringement or unauthorized use. This can be expensive, particularly for a company of our size, and time-consuming. We may not have sufficient financial or other resources to adequately conduct such litigation or proceedings and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or other intellectual property litigation or other proceedings could have a material adverse effect on our ability to compete in the marketplace.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products or product candidates or to prevent others from marketing similar products.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third-parties. Even if we are successful, domestic or foreign litigation or USPTO or foreign patent office proceedings may result in substantial costs and distraction to our management and scientific personnel. We may not be able, alone or with our licensors or potential collaboration partners, to prevent misappropriation of our proprietary rights, particularly in countries where the laws may not protect such rights as fully as in the United States.</w:t>
      </w:r>
    </w:p>
    <w:p>
      <w:pPr>
        <w:spacing w:after="0" w:line="18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this kind of proceedings, there could be public announcements of the results of hearings, motions or other interim proceedings or developments or public access to related documents. If investors perceive these results to be negative, the market price for the ADSs could be significantly harmed.</w:t>
      </w:r>
    </w:p>
    <w:p>
      <w:pPr>
        <w:spacing w:after="0" w:line="287"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technologies, products and product candidates.</w:t>
      </w:r>
    </w:p>
    <w:p>
      <w:pPr>
        <w:spacing w:after="0" w:line="5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Leahy-Smith Act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1" w:name="page62"/>
    <w:bookmarkEnd w:id="61"/>
    <w:p>
      <w:pPr>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Since June 1, 2023, European patent applications have the option, upon grant of a patent, of becoming a Unitary Patent which will be subject to the jurisdiction of the UPC. For additional information, see “If our intellectual property related to our products and product candidates is not adequate, we may not be able to compete effectively in our market.”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employees and patents are subject to German law.</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2023, 134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 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w:t>
      </w:r>
    </w:p>
    <w:p>
      <w:pPr>
        <w:spacing w:after="0" w:line="296" w:lineRule="exact"/>
        <w:rPr>
          <w:sz w:val="20"/>
          <w:szCs w:val="20"/>
          <w:color w:val="auto"/>
        </w:rPr>
      </w:pPr>
    </w:p>
    <w:p>
      <w:pPr>
        <w:jc w:val="both"/>
        <w:ind w:right="5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Although an inadvertent lapse can in many cases be cured by payment of a late fee or by other means in accordance with the applicable rules, there are situations in which noncompliance with these requirements can result in abandonment or lapse of a patent or patent application, resulting in partial or complete loss of patent rights in the relevant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Losing our patent rights could enable competitors to enter the market earlier than would otherwise have been the case.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62" w:name="page63"/>
    <w:bookmarkEnd w:id="62"/>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Failure to secure trademark registrations for a commercial trade name for our products or product candidates in the United States or elsewhere could adversely affect our business.</w:t>
      </w:r>
    </w:p>
    <w:p>
      <w:pPr>
        <w:spacing w:after="0" w:line="5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use various trademark rights in our business, including, Ascendis, Ascendis Pharma, TransCon, SKYTROFA and YORVIPATH. A trademark application for TransCon PTH has been filed in the U.S. as well as the EU and other countries across the globe. However, our current or future trademarks and trade names may be challenged, infringed, circumvented or declared generic or determined to be infringing on other marks, and we may not be able to obtain trademark protection in other territories that we consider of significant importance to us. Furthermore, other than for TransCon hGH and TransCon PTH, we have not yet registered for a commercial trade name for any other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third-parties can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 advertising and marketing our products under new brands. We may license our trademarks and trade names to third-parties,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has approved the use of SKYTROFA for TransCon hGH in the United States; however, any name we propose to use with TransCon PTH, or our other product candidates in the United States or any other country must be approved by the FDA, EMA or any other relevant health authority regardless of whether we have registered it, or applied to register it, as a trademark. For example, the FDA has approved the use of SKYTROFA in the United States and the EC has granted a marketing authorisation for SKYTROFA and YORVIPATH in the EU.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third-parties and be acceptable to the FDA, EMA or any other relevant approval authority.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Patents are of national or regional effect, and filing, prosecuting and defending patents on our products or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Additionally, laws of some countries outside of the United States and Europe do not afford intellectual property protection to the same extent as the laws of the United States and Europe. For example, patents with claims directed to dry pharmaceutical formulations of TransCon hGH have issued in the United States, Europe, and other jurisdictions, but related claims were rejected in China, and our subsequent appeals were unsuccessful. As a result, our patent protection for TransCon hGH may expire sooner in China than in other jurisdictions. Many companies have encountered significant problems in protecting and defending intellectual property rights in certain foreign jurisdictions. The legal systems of some countries, including India, China and certain developing countries, do not favor the enforcement of patents and other intellectual property rights. This could make it difficult for us to stop the infringement of our patents or the misappropriation of our other intellectual property rights in such countries. For example, many foreign countries have compulsory licensing laws under which a patent owner must grant licenses to third-parties. Consequently, we may not be able to prevent third-parties from practicing our inventions in certain countries outside the United States and many countries in Europe.</w:t>
      </w:r>
    </w:p>
    <w:p>
      <w:pPr>
        <w:spacing w:after="0" w:line="193"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obtained patent protection to develop their own products and product candidates and, further, may export otherwise infringing products to territories where we have patent protection, if our ability to enforce our patents to stop infringing activities is inadequate.</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63" w:name="page64"/>
    <w:bookmarkEnd w:id="63"/>
    <w:p>
      <w:pPr>
        <w:ind w:right="660"/>
        <w:spacing w:after="0" w:line="280" w:lineRule="auto"/>
        <w:rPr>
          <w:sz w:val="20"/>
          <w:szCs w:val="20"/>
          <w:color w:val="auto"/>
        </w:rPr>
      </w:pPr>
      <w:r>
        <w:rPr>
          <w:rFonts w:ascii="Times New Roman" w:cs="Times New Roman" w:eastAsia="Times New Roman" w:hAnsi="Times New Roman"/>
          <w:sz w:val="18"/>
          <w:szCs w:val="18"/>
          <w:color w:val="auto"/>
        </w:rPr>
        <w:t>These products and product candidates may compete with our products, and our patents or other intellectual property rights may not be effective or sufficient to prevent them from competing.</w:t>
      </w:r>
    </w:p>
    <w:p>
      <w:pPr>
        <w:spacing w:after="0" w:line="16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and product candidates. Accordingly, our efforts to protect our intellectual property rights in such countries may be inadequate.</w:t>
      </w:r>
    </w:p>
    <w:p>
      <w:pPr>
        <w:spacing w:after="0" w:line="286"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third-party, or claiming ownership of what we regard as our own intellectual property.</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have wrongfully hired an employee from a competitor or that we or these employees, consultants and contractors have used or disclosed such third-party intellectual property, including know-how, trade secrets or other proprietary information. 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third-parties involved in developing our products or product candidates or as a result of questions regarding co-ownership of potential joint inventions. For example, we may have inventorship disputes arise from conflicting obligations of consultants or others who are involved in developing our products or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or our licensors may have relied on third-party consultants or collaborators or on funds from third-parties, such as national governments, such that we or our licensors are not the sole and exclusive owners of the patents we in-licensed. If other third-parties have ownership rights or other rights to our patents, including in-licensed patents, they may be able to license such patents to our competitors, and our competitors could market competing products, product candidates and technologies.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This could have a material adverse effect on our competitive position, business, financial conditions, results of operations, and prospects.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116" w:lineRule="exact"/>
        <w:rPr>
          <w:sz w:val="20"/>
          <w:szCs w:val="20"/>
          <w:color w:val="auto"/>
        </w:rPr>
      </w:pPr>
    </w:p>
    <w:p>
      <w:pPr>
        <w:ind w:right="5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Convertible Notes.</w:t>
      </w:r>
    </w:p>
    <w:p>
      <w:pPr>
        <w:spacing w:after="0" w:line="5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As of December 31, 2023, we had $575 million principal amount of indebtedness as a result of the 2.25% Convertible Senior Notes due 2028 (“Convertible Notes”) offering. We may also incur additional indebtedness to meet future financing needs. Our indebtedness could have significant negative consequences for our shareholders and our business, results of operations, and financial condition by, among other things:</w:t>
      </w:r>
    </w:p>
    <w:p>
      <w:pPr>
        <w:spacing w:after="0" w:line="68" w:lineRule="exact"/>
        <w:rPr>
          <w:sz w:val="20"/>
          <w:szCs w:val="20"/>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15"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shareholders as a result of issuing ADSs upon conversion of the Convertible Notes and the ordinary shares represented by such ADSs;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92"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redeem the Convertible Notes for cash following a fundamental change, and our future indebtedness may limit our ability to redeem the Convertible Notes in connection with such fundamental change.</w:t>
      </w:r>
    </w:p>
    <w:p>
      <w:pPr>
        <w:spacing w:after="0" w:line="5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Holders of the Convertible Notes may, subject to a limited exception described in the indenture, require us to redeem their Convertible Notes following a fundamental change under the indenture at a cash fundamental change redemption price generally equal to the principal amount of the Convertible Notes to be redeemed in connection with such fundamental change, plus accrued and unpaid interest, if any. We may not have enough available cash or be able to obtain financing at the time we are required to redeem the Convertible Notes in connection with a fundamental change. In addition, applicable law, regulatory authorities and the agreements governing our other indebtedness may restrict our ability to redeem the Convertible Notes in connection with a fundamental change. Our failure to redeem Convertible Notes in connection with a fundamental change when required will constitute a default under the indenture. A default under the indenture or the fundamental change itself could also lead to a default under agreements governing our other consolidated indebtedness (if any), which may result in that other indebtedness becoming immediately payable in full. If the repayment of such other indebtedness were to be accelerated after any applicable notice or grace periods, then we may not have sufficient funds to repay that indebtedness and redeem the Convertible Notes in connection with such fundamental change.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12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Certain provisions in the Convertible Notes and the indenture could make a third party attempt to acquire us more difficult or expensive. For example, a takeover will under certain circumstances constitute a fundamental change, and the noteholders will then have the right to require us to redeem their Convertible Notes for cash. In addition, if a takeover constitutes a make-whole fundamental change, then we may be required to temporarily increase the conversion rate. In either case, and in other cases, our obligations under the Convertible Notes and the indenture could increase the cost of acquiring us or otherwise discourage a third party from acquiring us or removing incumbent management, including in a transaction that noteholders or holders of the ADSs or our ordinary shares may view as favorable.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12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The Convertible Notes are treated as a compound financial instrument with a foreign currency financial liability component (“host”), and an embedded derivative (“derivative”) related to a written option to exchange a fixed number of our own shares for a fixed amount of Convertible Notes that is denominated in a foreign currency. The derivative is not closely related to the host, because it is exposed to dissimilar risks, such as volatility from the Company’s own share price. Accordingly, the derivative is accounted for separately at fair value through profit or loss.</w:t>
      </w:r>
    </w:p>
    <w:p>
      <w:pPr>
        <w:spacing w:after="0" w:line="1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initial fair value of the host was the residual amount after separating the embedded derivative at fair value, net of transaction costs attributable to the host component. Transaction costs were allocated to the host and the derivative in proportion to the allocation of proceeds. Transaction costs attributable to the derivative were recognized immediately in the profit or loss as a financial expense.</w:t>
      </w:r>
    </w:p>
    <w:p>
      <w:pPr>
        <w:spacing w:after="0" w:line="17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difference between the principal amount of the Convertible Notes and the initial fair value of the host is amortized into interest expense over the expected lifetime of the Convertible Notes using the effective interest method. As a result of this amortization, the interest expense that we expect to recognize for the Convertible Notes for accounting purposes will be greater than the cash interest payments we will pay on the Convertible Notes, which will result in lower reported income or higher reported loss. The lower reported income or higher reported loss resulting from this accounting treatment could depress the trading price of our common stock and the Convertible Notes.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fair value of the derivative cannot be measured based on quoted prices in active markets, or other observable input, and accordingly, the derivative is measured by using the Black-Scholes option pricing model, where the pricing is exposed from changes in the Company’s share price. Since the fair value is exposed to development in the Company’s share price, the profit or loss is exposed to volatility from such development, which could result in lower reported income or higher reported loss. The lower reported income or higher reported loss resulting from this accounting treatment could have a negative effect on the trading price of the ADSs.</w:t>
      </w:r>
    </w:p>
    <w:p>
      <w:pPr>
        <w:spacing w:after="0" w:line="183"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 addition, the accounting method for reflecting the ordinary shares represented by ADSs underlying the Convertible Notes in our diluted earnings per share may adversely affect our reported earnings and financial condition. We expect that, under applicable accounting principles, the ordinary shares represented by ADSs underlying the Convertible Notes will be reflected in our diluted earnings per share assuming that all the Convertible Notes were converted into ADSs at the beginning of the reporting period (or, if later, the date the Convertible Notes are first issued), unless the result would be antidilutive. Accounting for the Convertible Notes in this manner may reduce our diluted earnings per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 and ADSs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ADSs may be volatile and the holders of the ADSs may not be able to resell ADSs at or above the price they paid.</w:t>
      </w:r>
    </w:p>
    <w:p>
      <w:pPr>
        <w:spacing w:after="0" w:line="12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The trading price of the ADSs has been and could continue to be highly volatile and could be subject to wide fluctuations in response to various factors, some of which are beyond our control. These factors include:</w:t>
      </w:r>
    </w:p>
    <w:p>
      <w:pPr>
        <w:spacing w:after="0" w:line="55" w:lineRule="exact"/>
        <w:rPr>
          <w:sz w:val="20"/>
          <w:szCs w:val="20"/>
          <w:color w:val="auto"/>
        </w:rPr>
      </w:pPr>
    </w:p>
    <w:p>
      <w:pPr>
        <w:ind w:left="1020" w:right="100" w:hanging="504"/>
        <w:spacing w:after="0" w:line="260"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or obtain regulatory approval for our products or product candidates, or delays in commercializing or obtaining regulatory approval;</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66" w:name="page67"/>
    <w:bookmarkEnd w:id="66"/>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products or product candidates;</w:t>
      </w:r>
    </w:p>
    <w:p>
      <w:pPr>
        <w:spacing w:after="0" w:line="11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TransCon technologies to therapeutic areas other than endocrinology, including the therapeutic areas of oncology and ophthalmology;</w:t>
      </w:r>
    </w:p>
    <w:p>
      <w:pPr>
        <w:spacing w:after="0" w:line="55" w:lineRule="exact"/>
        <w:rPr>
          <w:rFonts w:ascii="Times New Roman" w:cs="Times New Roman" w:eastAsia="Times New Roman" w:hAnsi="Times New Roman"/>
          <w:sz w:val="18"/>
          <w:szCs w:val="18"/>
          <w:color w:val="auto"/>
        </w:rPr>
      </w:pPr>
    </w:p>
    <w:p>
      <w:pPr>
        <w:ind w:left="1020" w:right="680" w:hanging="504"/>
        <w:spacing w:after="0" w:line="280"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a complete response letter to our product candidates, or specific label indications or patient populations for use, or changes or delays in the regulatory review process;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current or future collaborations or joint ventures;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parent drugs that we use in developing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actions taken by regulatory authorities with respect to our clinical trials, manufacturing supply chain or sales and marketing activities;</w:t>
      </w:r>
    </w:p>
    <w:p>
      <w:pPr>
        <w:spacing w:after="0" w:line="127"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products or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any manufacturers or suppliers;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license or discover additional products or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FDA or other similar regulatory actions affecting us or our industry or other healthcare reform measures in the EU, United States or in other markets;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w:t>
      </w:r>
    </w:p>
    <w:p>
      <w:pPr>
        <w:spacing w:after="0" w:line="115" w:lineRule="exact"/>
        <w:rPr>
          <w:rFonts w:ascii="Times New Roman" w:cs="Times New Roman" w:eastAsia="Times New Roman" w:hAnsi="Times New Roman"/>
          <w:sz w:val="18"/>
          <w:szCs w:val="18"/>
          <w:color w:val="auto"/>
        </w:rPr>
      </w:pPr>
    </w:p>
    <w:p>
      <w:pPr>
        <w:ind w:left="1020" w:right="900" w:hanging="504"/>
        <w:spacing w:after="0" w:line="280"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ordinary shares and/or ADSs by us, our senior management and board members, holders of the ADSs or our shareholders in the future;</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United States and international equity markets, including deteriorating market conditions due to investor concerns regarding inflation and hostilities between Russia and Ukraine;</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business, operating results, prospects and financial condition of the worldwide COVID-19 pandemic;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ADSs. In the past, when the market price of a stock has been volatile, holders of that stock have sometimes instituted securities class action litigation against the issuer. If any of the holders of ordinary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do not directly hold our ordinary shares and do not have the rights of a holder of our ordinary shares.</w:t>
      </w:r>
    </w:p>
    <w:p>
      <w:pPr>
        <w:spacing w:after="0" w:line="12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Danish law governs shareholder rights. Our depositary, Bank of New York Mellon, is the holder of the ordinary shares underlying our ADSs. The deposit agreement among us, the depositary, and all other persons directly and indirectly holding ADSs, sets out ADS holder rights as well as the rights and obligations of the depositary. In addition, our depositary charges certain fees to holders of our ADSs.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not be able to exercise their right to vote the ordinary shares underlying their ADSs.</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 However, we may not request the depositary to distribute this information which could effectively limit the ability of ADS holders to direct voting of the ordinary shares underlying their ADSs.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ADS holder may be subject to limitations on the transfer of their ADSs and the withdrawal of the underlying ordinary shares.</w:t>
      </w:r>
    </w:p>
    <w:p>
      <w:pPr>
        <w:spacing w:after="0" w:line="12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ADSs, which may be evidenced by American Depositary Receipts,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68" w:name="page69"/>
    <w:bookmarkEnd w:id="68"/>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issue shares or ADSs in future financings, shareholders or holders of ADSs may experience immediate dilution and, as a result, the price of our ADSs may decline.</w:t>
      </w:r>
    </w:p>
    <w:p>
      <w:pPr>
        <w:spacing w:after="0" w:line="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may from time to time issue additional shares or ADS at a discount from the trading price of our ADSs. 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shares, ADSs or ordinary shares. If we issue shares or securities convertible into shares of our share capital, our ordinary shareholders and holders of ADSs would experience additional dilution and, as a result, the price of our ADSs may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or ADSs in the public market could cause the price of the ADSs to fall.</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our existing shareholders or holders of ADSs sell, or indicate an intention to sell, substantial amounts of our ordinary shares or ADSs representing our ordinary shares in the public market, the trading price of our ADSs could decline. If our outstanding warrants are exercised or ADS subject to restricted stock units and performance stock units vest, additional ordinary shares or ADSs may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w:t>
      </w:r>
    </w:p>
    <w:p>
      <w:pPr>
        <w:spacing w:after="0" w:line="291"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and senior management own a significant percentage of our shares and are able to exert significant control over matters subject to shareholder approval.</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2023, our senior management, board members, holders of 5% or more of our share capital and their respective affiliates beneficially own approximately 73.0% of our outstanding voting securities. See “Item 7 A. Major Shareholders and Related Party Transactions - Major Shareholders” for information relating to the determination of the number of shares beneficially owned by an entity or a person. As a result, these security holders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be different from the rights of shareholders in companies governed by the laws of U.S. jurisdictions.</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120" w:lineRule="exact"/>
        <w:rPr>
          <w:sz w:val="20"/>
          <w:szCs w:val="20"/>
          <w:color w:val="auto"/>
        </w:rPr>
      </w:pPr>
    </w:p>
    <w:p>
      <w:pPr>
        <w:jc w:val="both"/>
        <w:ind w:right="400"/>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judgements predicated upon the civil liability provisions of the U.S. securities laws of the United States.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t>The United States and Denmark currently do not have a treaty providing for the reciprocal recognition and enforcement of judgements, other than arbitration awards, in civil and commercial matters. Consequently, a final judgement for payment given by a court in the United States, whether or not predicated solely upon U.S. securities laws, would not automatically be recognized or enforceable in Denmark. To obtain a judgement which is enforceable in Denmark, the party in whose favor a final and conclusive judgement of the U.S. court has been rendered will be required to file its claim with a court of competent jurisdiction in Denmark. Such party may submit to the Danish court the final judgement rendered by the U.S. court. If and to the extent that the Danish court finds that the jurisdiction of the U.S. court has been based on grounds which are internationally acceptable and that proper legal procedures have been observed, the Danish court should, in principle, give binding effect to the judgement of the U.S. court, unless such judgement contravenes principles of public policy of Denmark. Danish courts are likely to deny the recognition and enforcement of punitive damages or other awards. Moreover, a Danish court may reduce the amount of damages granted by a U.S. court and recognize damages only to the extent that they are necessary to compensate for actual losses or damages. Enforcement and recognition of judgements of U.S. courts in Denmark are solely governed by the provisions of the Danish Administration of Justice Act.</w:t>
      </w:r>
    </w:p>
    <w:p>
      <w:pPr>
        <w:spacing w:after="0" w:line="19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judgements obtained in U.S. courts in civil and commercial matters, including judgements under the U.S. federal securities laws.</w:t>
      </w:r>
    </w:p>
    <w:p>
      <w:pPr>
        <w:spacing w:after="0" w:line="27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not subject to certain Exchange Act reporting obligations that, to some extent, are more lenient and less frequent than those of a U.S. domestic public company.</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large accelerated filers are required to file their annual report on Form 10-K within 60 days after the end of each fiscal year. Foreign private issuers are also exempt from the Regulation Fair Disclosure, aimed at preventing issuers from making selective disclosures of material information. As a result of the above, our shareholders and the holders of our ADS may not have the same protections afforded to shareholders of companies that are not foreign private issuers.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 “foreign private issuer” allows us to adopt IFRS accounting principles, which are different from accounting principles under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Generally Accepted Accounting Principles (“U.S. GAAP”).</w:t>
      </w:r>
    </w:p>
    <w:p>
      <w:pPr>
        <w:spacing w:after="0" w:line="9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adopted and presented our consolidated financial statements in accordance with IFRS as issued by the International Accounting Standards Board and as adopted by the EU. IFRS is an internationally recognized body of accounting principles that are used by many companies outside of the United States to prepare their financial statements; and the SEC permits foreign private issuers such as our company to prepare and file their financial statements in accordance with IFRS rather than U.S. GAAP. IFRS accounting principles are different from 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70" w:name="page71"/>
    <w:bookmarkEnd w:id="70"/>
    <w:p>
      <w:pPr>
        <w:ind w:right="8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The Nasdaq Global Select Market, we rely on certain home country governance practices rather than the corporate governance requirements of The Nasdaq Global Select Market.</w:t>
      </w:r>
    </w:p>
    <w:p>
      <w:pPr>
        <w:spacing w:after="0" w:line="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a foreign private issuer,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or The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The Nasdaq Listing Rules. 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w:t>
      </w:r>
    </w:p>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our ADS may not have the same protections afforded to shareholders of companies that are subject to these Nasdaq requirements.</w:t>
      </w:r>
    </w:p>
    <w:p>
      <w:pPr>
        <w:spacing w:after="0" w:line="18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qualify as a foreign private issuer and therefore we are not required to comply with all of the periodic disclosure and current reporting requirements of the Exchange Act applicable to U.S. domestic issuers. We may no longer be a foreign private issuer as of June 30, 2024, which would require us to comply with all of the periodic disclosure and current reporting requirements of the Exchange Act applicable to U.S. domestic issuers as of January 1, 2025. To maintain our current status as a foreign private issuer, either (a) a majority of our ordinary shares or ADSs must be either directly or indirectly owned of record by non-residents of the United States or (b) (i) a majority of our executive officers or directors may not be U.S. citizens or residents, (ii) more than 50% of our 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and members of our senior management.</w:t>
      </w: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1" w:name="page72"/>
    <w:bookmarkEnd w:id="71"/>
    <w:p>
      <w:pPr>
        <w:ind w:right="260"/>
        <w:spacing w:after="0" w:line="280" w:lineRule="auto"/>
        <w:rPr>
          <w:sz w:val="20"/>
          <w:szCs w:val="20"/>
          <w:color w:val="auto"/>
        </w:rPr>
      </w:pPr>
      <w:r>
        <w:rPr>
          <w:rFonts w:ascii="Times New Roman" w:cs="Times New Roman" w:eastAsia="Times New Roman" w:hAnsi="Times New Roman"/>
          <w:sz w:val="18"/>
          <w:szCs w:val="18"/>
          <w:color w:val="auto"/>
        </w:rPr>
        <w:t>We do not currently intend to pay dividends on our ordinary shares or ADSs, and, consequently, our shareholders’ and ADS holders’ ability to achieve a return on their investment will depend on appreciation in the price of the ADSs or our ordinary shares.</w:t>
      </w:r>
    </w:p>
    <w:p>
      <w:pPr>
        <w:spacing w:after="0" w:line="1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 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w:t>
      </w:r>
    </w:p>
    <w:p>
      <w:pPr>
        <w:spacing w:after="0" w:line="16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Under Danish corporate law, except in certain limited circumstances (which require as a minimum that a proposal for inspection has been supported by a minimum of 25% of the shareholders voting and being present at a general meeting),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 or management liability under limited circumstances. In addition, a majority of our shareholders may release a board member or manager from any claim of liability we may have, including if such board member or manager has acted in bad faith or has breached his or 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may be subject to non-refundable withholding tax, which may not be creditable or deductible under the tax laws of the country in which the recipient shareholder is resident for tax purposes.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Further, repurchases of ordinary shares or ADSs by Ascendis Pharma A/S may have adverse tax consequences to the Company or shareholders under applicable Danish law. Finally, Danish 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72" w:name="page73"/>
    <w:bookmarkEnd w:id="72"/>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or ADSs may not be able to exercise their pre-emptive subscription rights and may suffer dilution of their equity holding in the event of future issuances of our shares.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 to the board of directors pursuant to which the board may disapply the shareholders’ pre-emptive subscription rights. Such shares or ADSs may be issued above, or at market value.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holding of ADSs of such shareholders or ADS holders may be materially diluted in the event shares or ADSs are issued in the future. 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w:t>
      </w:r>
    </w:p>
    <w:p>
      <w:pPr>
        <w:spacing w:after="0" w:line="1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However, our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 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w:t>
      </w:r>
    </w:p>
    <w:p>
      <w:pPr>
        <w:spacing w:after="0" w:line="294"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ordinary shares or ADSs, the price of the ADSs and trading volume could decline.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trading market for the ADSs may be influenced by the research and reports that industry or securities analysts publish about us or our business. If any of the analysts who cover us issue an adverse or misleading opinion regarding us, our business model, our intellectual property or performance of the ADSs, or if our commercial sales, clinical trials or operating results fail to meet the expectations of analysts, the price of the ADSs would likely decline. If one or more of these analysts cease coverage of us or fail to publish reports on us regularly, we could lose visibility in the financial markets, which in turn could cause the price of the ADSs or trading volume to decline.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73" w:name="page74"/>
    <w:bookmarkEnd w:id="73"/>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for U.S. federal income tax purposes for our current taxable year and future taxable years, which could result in adverse U.S. federal income tax consequences to U.S. investors.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and U.S. Treasury Regulations, the determination of passive foreign investment company (“PFIC”) status is fact-specific, and generally cannot be made until after the close of the taxable year in question. Based on our market capitalization and the composition of our income, assets and operations, we do not believe we were a PFIC for U.S. federal income tax purposes for our taxable year ended December 31, 2023. However, this is a factual determination, and the application of the PFIC rules is subject to uncertainty in several respects, and we cannot assure you we will not be a PFIC for any taxable year. A non-U.S. corporation will be considered a PFIC for any taxable year if, after the application of certain look-through rules, either (1) at least 75% of its gross income for such taxable year is passive income (as defined in the relevant provisions of the Code) or (2) at least 50% of the value of its assets (generally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“Taxation —Material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Although we do not believe we were a PFIC for U.S. federal income tax purposes for our taxable year ended December 31, 2023, the application of the PFIC rules is subject to uncertainty in several respects. Whether we will be a PFIC in any year depends on the composition of our income and assets, and the relative fair market value of our assets from time to time, which we expect may vary substantially over time. In addition, because the value of our assets, including unbooked goodwill, for purposes of the asset test will generally be determined by reference to the market price of the ADSs, our PFIC status will depend in large part on the market price of the ADSs, which may fluctuate significantly. For these reasons, we cannot assure you we will not be a PFIC for any taxable year.</w:t>
      </w:r>
    </w:p>
    <w:p>
      <w:pPr>
        <w:spacing w:after="0" w:line="194"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Each U.S. Holder is strongly urged to consult its tax advisor regarding these issues. See “Item 10 E. Additional Information—Taxation—Material U.S. Federal Income Tax Consequences to U.S. Holders.”</w:t>
      </w:r>
    </w:p>
    <w:p>
      <w:pPr>
        <w:spacing w:after="0" w:line="266"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or ADSs, such holder may be subject to adverse U.S. federal income tax consequences.</w:t>
      </w:r>
    </w:p>
    <w:p>
      <w:pPr>
        <w:spacing w:after="0" w:line="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If a U.S. Holder (as defined in “Item 10 E. Additional Information—Taxation—Material U.S. Federal Income Tax Consequences to U.S. Holders.”) is treated as owning (directly, indirectly or constructively) at least 10% of the value or voting power of our ordinary shares or ADSs, such U.S. Holder will be treated as a “United States shareholder” with respect to each “controlled foreign corporation” in our group. Because our group includes one or more U.S. subsidiaries, certain of our non-U.S. subsidiaries will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ordinary shares or ADSs.</w:t>
      </w: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6"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were organized under the laws of the Kingdom of Denmark in September 2006 as a private limited liability company (</w:t>
      </w:r>
      <w:r>
        <w:rPr>
          <w:rFonts w:ascii="Times New Roman" w:cs="Times New Roman" w:eastAsia="Times New Roman" w:hAnsi="Times New Roman"/>
          <w:sz w:val="18"/>
          <w:szCs w:val="18"/>
          <w:i w:val="1"/>
          <w:iCs w:val="1"/>
          <w:color w:val="auto"/>
        </w:rPr>
        <w:t>Anpartsselskab</w:t>
      </w:r>
      <w:r>
        <w:rPr>
          <w:rFonts w:ascii="Times New Roman" w:cs="Times New Roman" w:eastAsia="Times New Roman" w:hAnsi="Times New Roman"/>
          <w:sz w:val="18"/>
          <w:szCs w:val="18"/>
          <w:color w:val="auto"/>
        </w:rPr>
        <w:t>, or ApS) and then transformed into a public limited liability company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w:t>
      </w:r>
    </w:p>
    <w:p>
      <w:pPr>
        <w:spacing w:after="0" w:line="18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Our registered office and principal executive offices are located at Tuborg Boulevard 12, DK-2900 Hellerup, Denmark and our telephone number is +45 70 22 22 44. Our agent for service of process in the United States is Ascendis Pharma, Inc. Our corporate website address is www.ascendispharma.com. The information on, or that can be accessed through, our website is not part of and should not be incorporated by reference into this annual report or any other report we file or furnish to the U.S. Securities and Exchange Commission (“SEC”). We have included our website address as an inactive textual reference only. Our ADSs are traded on The Nasdaq Global Select Market under the symbol “ASND”.</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SEC maintains an internet site at www.sec.gov that contains reports, proxy and information statements, and other information regarding issuers that file electronically with the SEC.</w:t>
      </w:r>
    </w:p>
    <w:p>
      <w:pPr>
        <w:spacing w:after="0" w:line="163"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7"/>
          <w:szCs w:val="17"/>
          <w:color w:val="auto"/>
        </w:rPr>
        <w:t>For additional information relating to the development of our company, see “Item 4 B. Information on the Company – Business Overview”. For additional information relating to the Company’s capital expenditures, see “Item 5 A. Operating and Financial Review and Prospects—Operating Results.”</w:t>
      </w:r>
    </w:p>
    <w:p>
      <w:pPr>
        <w:spacing w:after="0" w:line="243" w:lineRule="exact"/>
        <w:rPr>
          <w:sz w:val="20"/>
          <w:szCs w:val="20"/>
          <w:color w:val="auto"/>
        </w:rPr>
      </w:pPr>
    </w:p>
    <w:p>
      <w:pPr>
        <w:ind w:right="9240" w:firstLine="8"/>
        <w:spacing w:after="0" w:line="376" w:lineRule="auto"/>
        <w:tabs>
          <w:tab w:leader="none" w:pos="51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spacing w:after="0" w:line="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are applying our innovative TransCon platform to build a leading, fully integrated, global biopharma company focused on making a meaningful difference in patients’ lives. Guided by our core values of patients, science, and passion, we use our TransCon technologies to create new and potentially best-in-class therapies.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announced in January 2024, Vision 2030 is our vision to achieve blockbuster status for multiple products and expand our engine for future innovation.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w:t>
      </w:r>
    </w:p>
    <w:p>
      <w:pPr>
        <w:spacing w:after="0" w:line="97" w:lineRule="exact"/>
        <w:rPr>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Leading Endocrinology Rare Disease Company</w:t>
      </w:r>
    </w:p>
    <w:p>
      <w:pPr>
        <w:spacing w:after="0" w:line="115" w:lineRule="exact"/>
        <w:rPr>
          <w:rFonts w:ascii="Times New Roman" w:cs="Times New Roman" w:eastAsia="Times New Roman" w:hAnsi="Times New Roman"/>
          <w:sz w:val="18"/>
          <w:szCs w:val="18"/>
          <w:color w:val="auto"/>
        </w:rPr>
      </w:pPr>
    </w:p>
    <w:p>
      <w:pPr>
        <w:ind w:left="1540" w:right="1140" w:hanging="51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oAchieve blockbuster status (&gt;$1B) for each of TransCon PTH, TransCon hGH, and TransCon CNP through worldwide commercialization</w:t>
      </w:r>
    </w:p>
    <w:p>
      <w:pPr>
        <w:spacing w:after="0" w:line="55" w:lineRule="exact"/>
        <w:rPr>
          <w:rFonts w:ascii="Times New Roman" w:cs="Times New Roman" w:eastAsia="Times New Roman" w:hAnsi="Times New Roman"/>
          <w:sz w:val="18"/>
          <w:szCs w:val="18"/>
          <w:color w:val="auto"/>
        </w:rPr>
      </w:pPr>
    </w:p>
    <w:p>
      <w:pPr>
        <w:ind w:left="1540" w:right="540" w:hanging="51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 the leader in growth disorders and hypoparathyroidism, pursuing clinical conditions, innovative life cycle management, and complementary patient offerings</w:t>
      </w:r>
    </w:p>
    <w:p>
      <w:pPr>
        <w:spacing w:after="0" w:line="5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Expand pipeline with Endocrinology Rare Disease blockbuster product opportunities.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Value in Additional Therapeutic Areas through Innovative Business Models</w:t>
      </w:r>
    </w:p>
    <w:p>
      <w:pPr>
        <w:spacing w:after="0" w:line="11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Obtain accelerated approval in oncology with registrational trials ongoing;</w:t>
      </w:r>
    </w:p>
    <w:p>
      <w:pPr>
        <w:spacing w:after="0" w:line="116" w:lineRule="exact"/>
        <w:rPr>
          <w:sz w:val="20"/>
          <w:szCs w:val="20"/>
          <w:color w:val="auto"/>
        </w:rPr>
      </w:pPr>
    </w:p>
    <w:p>
      <w:pPr>
        <w:ind w:left="1540" w:hanging="514"/>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TransCon product opportunities in &gt;$5B indications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value creation of these product opportunities through collaboration with therapeutic area market leaders</w:t>
      </w:r>
    </w:p>
    <w:p>
      <w:pPr>
        <w:spacing w:after="0" w:line="11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55" w:right="379" w:bottom="1440" w:gutter="0" w:footer="0" w:header="0"/>
        </w:sectPr>
      </w:pPr>
    </w:p>
    <w:bookmarkStart w:id="75" w:name="page76"/>
    <w:bookmarkEnd w:id="75"/>
    <w:p>
      <w:pPr>
        <w:ind w:left="1020" w:hanging="504"/>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with Ascendis Fundamentals</w:t>
      </w:r>
    </w:p>
    <w:p>
      <w:pPr>
        <w:spacing w:after="0" w:line="11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Outperform industry drug development benchmarks with Ascendis’ product innovation algorithm</w:t>
      </w:r>
    </w:p>
    <w:p>
      <w:pPr>
        <w:spacing w:after="0" w:line="11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Remain independent as a profitable biopharma through lean and flexible ways of working</w:t>
      </w:r>
    </w:p>
    <w:p>
      <w:pPr>
        <w:spacing w:after="0" w:line="11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Let our values Patients, Science, Passion drive our decisions to success</w:t>
      </w:r>
    </w:p>
    <w:p>
      <w:pPr>
        <w:spacing w:after="0" w:line="22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Our products and product candidates combine our TransCon technologies with clinically validated parent drugs and pathways, with the goal of optimizing efficacy, safety, tolerability and convenience.</w:t>
      </w:r>
    </w:p>
    <w:p>
      <w:pPr>
        <w:spacing w:after="0" w:line="16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We apply these technologies in combination with clinically validated parent drugs or pathways using our algorithm with the goal of creating product candidates with the potential to be best-in-class. We plan to apply this algorithm for product innovation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30190" cy="128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3019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w:t>
      </w:r>
    </w:p>
    <w:p>
      <w:pPr>
        <w:spacing w:after="0" w:line="183"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We currently have two marketed products and a diversified portfolio of five product candidates in clinical development in the areas of endocrinology rare diseases and oncology, and we are working to apply our TransCon technology platform in additional therapeutic areas such as the glucagon-like peptide 1 (“GLP-1”) class where we believe we have designed a best-in-class, once-monthly program.</w:t>
      </w:r>
    </w:p>
    <w:p>
      <w:pPr>
        <w:spacing w:after="0" w:line="75" w:lineRule="exact"/>
        <w:rPr>
          <w:sz w:val="20"/>
          <w:szCs w:val="20"/>
          <w:color w:val="auto"/>
        </w:rPr>
      </w:pPr>
    </w:p>
    <w:p>
      <w:pPr>
        <w:ind w:left="1020" w:right="160" w:hanging="504"/>
        <w:spacing w:after="0" w:line="257" w:lineRule="auto"/>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SKYTROFA </w:t>
      </w:r>
      <w:r>
        <w:rPr>
          <w:rFonts w:ascii="Times New Roman" w:cs="Times New Roman" w:eastAsia="Times New Roman" w:hAnsi="Times New Roman"/>
          <w:sz w:val="17"/>
          <w:szCs w:val="17"/>
          <w:color w:val="auto"/>
        </w:rPr>
        <w:t>– Our first marketed product is SKYTROFA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(lonapegsomatropin-tcgd), developed as TransCon Growth Hormone (“TransCon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hGH”), which received regulatory approval in the United States for the treatment of pediatric patients one year and older who weigh at least 11.5 kg and have growth failure due to inadequate secretion of endogenous growth hormone, also known as growth hormone deficiency (“GHD”). TransCon hGH is now commercially available for prescription in the United States under its brand name SKYTROFA (lonapegsomatropin-tcgd). In addition, TransCon hGH was granted marketing authorization in the European Union (“EU”) as SKYTROFA (lonapegsomatropin), a once-weekly subcutaneous injection for the treatment of children and adolescents ages 3 to 18 years with growth</w:t>
      </w:r>
    </w:p>
    <w:p>
      <w:pPr>
        <w:ind w:left="1020" w:right="620"/>
        <w:spacing w:after="0" w:line="249" w:lineRule="auto"/>
        <w:rPr>
          <w:sz w:val="20"/>
          <w:szCs w:val="20"/>
          <w:color w:val="auto"/>
        </w:rPr>
      </w:pPr>
      <w:r>
        <w:rPr>
          <w:rFonts w:ascii="Times New Roman" w:cs="Times New Roman" w:eastAsia="Times New Roman" w:hAnsi="Times New Roman"/>
          <w:sz w:val="18"/>
          <w:szCs w:val="18"/>
          <w:color w:val="auto"/>
        </w:rPr>
        <w:t>failure due to insufficient secretion of endogenous growth hormone. SKYTROFA has been commercially available for prescription in Germany since September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76" w:name="page77"/>
    <w:bookmarkEnd w:id="76"/>
    <w:p>
      <w:pPr>
        <w:ind w:left="1020" w:right="100" w:hanging="504"/>
        <w:spacing w:after="0" w:line="238"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YORVIPATH </w:t>
      </w:r>
      <w:r>
        <w:rPr>
          <w:rFonts w:ascii="Times New Roman" w:cs="Times New Roman" w:eastAsia="Times New Roman" w:hAnsi="Times New Roman"/>
          <w:sz w:val="18"/>
          <w:szCs w:val="18"/>
          <w:color w:val="auto"/>
        </w:rPr>
        <w:t>– Our second marketed product is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(palopegteriparatide), developed as TransCon PTH. In the EU, YORVIPATH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granted marketing authorization as a once-daily subcutaneous injection for the treatment of adults with chronic hypoparathyroidism. YORVIPATH has been commercially available for prescription in Germany and Austria since January 2024.</w:t>
      </w:r>
    </w:p>
    <w:p>
      <w:pPr>
        <w:spacing w:after="0" w:line="87" w:lineRule="exact"/>
        <w:rPr>
          <w:rFonts w:ascii="Times New Roman" w:cs="Times New Roman" w:eastAsia="Times New Roman" w:hAnsi="Times New Roman"/>
          <w:sz w:val="18"/>
          <w:szCs w:val="18"/>
          <w:color w:val="auto"/>
        </w:rPr>
      </w:pPr>
    </w:p>
    <w:p>
      <w:pPr>
        <w:ind w:left="1020" w:hanging="504"/>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Endocrinology Rare Disease Pipeline </w:t>
      </w:r>
      <w:r>
        <w:rPr>
          <w:rFonts w:ascii="Times New Roman" w:cs="Times New Roman" w:eastAsia="Times New Roman" w:hAnsi="Times New Roman"/>
          <w:sz w:val="18"/>
          <w:szCs w:val="18"/>
          <w:color w:val="auto"/>
        </w:rPr>
        <w:t>– We are developing three product candidates in our Endocrinology Rare Disease portfolio spanning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indications and geographies. These include TransCon hGH for pediatric GHD, adult GHD, and Turner syndrome; TransCon PTH for adults with chronic hypoparathyroidism; and TransCon CNP (navepegritide) for infants and children with achondroplasia.</w:t>
      </w:r>
    </w:p>
    <w:p>
      <w:pPr>
        <w:spacing w:after="0" w:line="65" w:lineRule="exact"/>
        <w:rPr>
          <w:rFonts w:ascii="Times New Roman" w:cs="Times New Roman" w:eastAsia="Times New Roman" w:hAnsi="Times New Roman"/>
          <w:sz w:val="18"/>
          <w:szCs w:val="18"/>
          <w:color w:val="auto"/>
        </w:rPr>
      </w:pPr>
    </w:p>
    <w:p>
      <w:pPr>
        <w:ind w:left="1020" w:right="60" w:hanging="504"/>
        <w:spacing w:after="0" w:line="25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Oncology </w:t>
      </w:r>
      <w:r>
        <w:rPr>
          <w:rFonts w:ascii="Times New Roman" w:cs="Times New Roman" w:eastAsia="Times New Roman" w:hAnsi="Times New Roman"/>
          <w:sz w:val="18"/>
          <w:szCs w:val="18"/>
          <w:color w:val="auto"/>
        </w:rPr>
        <w:t>– In Oncology, we are leveraging our TransCon technologies with the goal of enhancing the anti-tumor effects of clinically-validated parent 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 like receptors (“TLR”) 7 and 8 for intratumoral delivery and TransCon IL-2 b/g for systemic delivery, which is designed for prolonged exposure to an IL-2 variant that selectively activates the IL-2 b/g, with minimal binding to IL-2Rα. Our clinical development program for these product candidates also includes evaluation of them as a potential combination therapy.</w:t>
      </w:r>
    </w:p>
    <w:p>
      <w:pPr>
        <w:spacing w:after="0" w:line="74" w:lineRule="exact"/>
        <w:rPr>
          <w:rFonts w:ascii="Times New Roman" w:cs="Times New Roman" w:eastAsia="Times New Roman" w:hAnsi="Times New Roman"/>
          <w:sz w:val="18"/>
          <w:szCs w:val="18"/>
          <w:color w:val="auto"/>
        </w:rPr>
      </w:pPr>
    </w:p>
    <w:p>
      <w:pPr>
        <w:ind w:left="1020" w:right="20" w:hanging="504"/>
        <w:spacing w:after="0" w:line="25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Ophthalmology </w:t>
      </w:r>
      <w:r>
        <w:rPr>
          <w:rFonts w:ascii="Times New Roman" w:cs="Times New Roman" w:eastAsia="Times New Roman" w:hAnsi="Times New Roman"/>
          <w:sz w:val="18"/>
          <w:szCs w:val="18"/>
          <w:color w:val="auto"/>
        </w:rPr>
        <w:t>- In January 2023, we announced Ophthalmology as our third independent therapeutic area of focus for our TransCon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In January 2024, we announced the formation of Eyconis, Inc., with institutional investors and entered into an exclusive license agreement with Eyconis to develop and commercialize TransCon ophthalmology products globally. We received an equity position in the newly formed company, and we are eligible to receive future milestone payments plus single digit royalties on global net sales of commercialized products, if 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5330190" cy="2254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3019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riGHt Trial (jRCT2031200340)</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foresiGHt Trial (NCT05171855)</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InsiGHts Trial (NCT05690386)</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NDA resubmitted to U.S. FDA, PDUFA goal date May 14, 2024</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Japan Trial (jRCT2051210058)</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78" w:right="379" w:bottom="1440" w:gutter="0" w:footer="0" w:header="0"/>
        </w:sectPr>
      </w:pPr>
    </w:p>
    <w:bookmarkStart w:id="77" w:name="page78"/>
    <w:bookmarkEnd w:id="77"/>
    <w:p>
      <w:pPr>
        <w:ind w:left="1020" w:hanging="504"/>
        <w:spacing w:after="0"/>
        <w:tabs>
          <w:tab w:leader="none" w:pos="10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Pivotal ApproaCH Trial (NCT05598320)</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reACHin Trial (NCT06079398)</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transcendIT-101 Trial (NCT04799054), includes 4 indication-specific cohorts</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BelieveIT-201 Trial (NCT05980598)</w:t>
      </w:r>
    </w:p>
    <w:p>
      <w:pPr>
        <w:spacing w:after="0" w:line="115" w:lineRule="exact"/>
        <w:rPr>
          <w:rFonts w:ascii="Times New Roman" w:cs="Times New Roman" w:eastAsia="Times New Roman" w:hAnsi="Times New Roman"/>
          <w:sz w:val="18"/>
          <w:szCs w:val="18"/>
          <w:i w:val="1"/>
          <w:iCs w:val="1"/>
          <w:color w:val="auto"/>
        </w:rPr>
      </w:pPr>
    </w:p>
    <w:p>
      <w:pPr>
        <w:ind w:left="1020" w:hanging="504"/>
        <w:spacing w:after="0"/>
        <w:tabs>
          <w:tab w:leader="none" w:pos="10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IL-Believe Trial (NCT05081609)</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an intellectual property portfolio comprising over 300 issued patents and over 550 patent applications as of December 31, 2023, which includes patents and patent applications applicable to our product candidates with claims directed to composition of matter, process, formulation and/or methods-of-use for our product candidates, including a product-specific device and core TransCon technologies. Other than the rights we have granted to VISEN Pharmaceuticals (“VISEN”), Teijin Limited, and Eyconis as noted in this annual report, we hold worldwide rights to our TransCon technologies and, other than our royalty financing arrangement with Royalty Pharma as noted in this annual report, we owe no third-party royalty or milestone payment obligations with respect to our TransCon technologies, TransCon hGH or any of our other product candidates. While our TransCon prodrugs may incorporate already approved parent drugs, TransCon hGH and each of our other product candidates are new molecular entities and therefore eligible to be granted new intellectual property rights, including new composition of matter patents.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Commercialization Strategy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establishing a global presence to commercialize TransCon product candidates, if approved, to address patients' unmet medical needs.</w:t>
      </w:r>
    </w:p>
    <w:p>
      <w:pPr>
        <w:spacing w:after="0" w:line="116"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In the U.S., we have established a multi-faceted organization to support the ongoing commercialization of SKYTROFA, which will also serve as the foundation for future Endocrinology Rare Disease product launches in the U.S.</w:t>
      </w:r>
    </w:p>
    <w:p>
      <w:pPr>
        <w:spacing w:after="0" w:line="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Europe, we are expanding our presence by building integrated organizations in select countries, which we call Europe Direct, beginning with Germany, where we have launched SKYTROFA and YORVIPATH. We are establishing other Europe Direct organizations to service country clusters, including DACH (Germany, Austria, Switzerland), France &amp; BeNeLux (Belgium, the Netherlands, and Luxembourg), Iberia (Portugal and Spain), Italy, Nordics (Denmark, Norway, Sweden, Iceland, Finland), and the United Kingdom &amp; Ireland.</w:t>
      </w:r>
    </w:p>
    <w:p>
      <w:pPr>
        <w:spacing w:after="0" w:line="75"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7"/>
          <w:szCs w:val="17"/>
          <w:color w:val="auto"/>
        </w:rPr>
        <w:t>Beyond the U.S. and Europe Direct, we are expanding global reach for our Endocrinology Rare Disease programs through exclusive distribution agreements with geographic market leaders, which we call International Markets. We have three such regional agreements established as of January 2024:</w:t>
      </w:r>
    </w:p>
    <w:p>
      <w:pPr>
        <w:spacing w:after="0" w:line="31" w:lineRule="exact"/>
        <w:rPr>
          <w:sz w:val="20"/>
          <w:szCs w:val="20"/>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Specialised Therapeutics Asia Pte Ltd. (Australia, New Zealand, Singapore, Malaysia, Brunei, Thailand, and Vietnam)</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Er-Kim (Central &amp; Eastern Europe and Turkey)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Vector Pharma FZCO (Saudi Arabia, United Arab Emirates, Kuwait, Oman, Qatar, and Bahrain)</w:t>
      </w:r>
    </w:p>
    <w:p>
      <w:pPr>
        <w:spacing w:after="0" w:line="1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Finally, we are making our products commercially available in select markets through exclusive license agreements with partners with local expertise and infrastructure. We plan to also make our product candidates commercially available, if approved, through these exclusive license agreements. In China, VISEN has exclusive license rights to develop and commercialize TransCon hGH, TransCon PTH, and TransCon CNP. In Japan, Teijin has exclusive license rights to develop and commercialize TransCon hGH, TransCon PTH, and TransCon CNP.</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469"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TransCon Technologies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330190" cy="19818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30190" cy="198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682"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TransCon Technology Components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Carriers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TransCon technologies incorporate two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spacing w:after="0" w:line="73" w:lineRule="exact"/>
        <w:rPr>
          <w:sz w:val="20"/>
          <w:szCs w:val="20"/>
          <w:color w:val="auto"/>
        </w:rPr>
      </w:pPr>
    </w:p>
    <w:p>
      <w:pPr>
        <w:ind w:left="1020" w:right="20" w:hanging="504"/>
        <w:spacing w:after="0" w:line="276"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Systemic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Our TransCon systemic carriers are used to provide systemic drug exposure and are based on soluble compounds such as methoxy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polyethylene glycol (“mPEG”) or other natural or synthetic polymers.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-17145</wp:posOffset>
            </wp:positionV>
            <wp:extent cx="3963670" cy="1298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63670" cy="129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20" w:right="60" w:hanging="504"/>
        <w:spacing w:after="0" w:line="25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Localized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localized carriers include TransCon hydrogels based on PEG, hyaluronic acid, or other biopolymers. TransCon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60325</wp:posOffset>
            </wp:positionV>
            <wp:extent cx="3827145" cy="13925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27145"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20" w:right="500" w:hanging="504"/>
        <w:spacing w:after="0" w:line="260"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developed a novel TransCon prolongation technology. The new TransCon technology may support expansion of TransCon technology into new therapeutic areas.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TransCon Linkers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Parent Drugs</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w:t>
      </w:r>
    </w:p>
    <w:p>
      <w:pPr>
        <w:spacing w:after="0" w:line="18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This approach has enabled us to generate a pipeline of product candidates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Products – Endocrinology Rare Disease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Recombinant Human Growth Hormone</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Growth hormone deficiency (“GHD”)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The current standard of care for GHD is daily subcutaneous injections of somatropin, a recombinant human growth hormone (“hGH”). In childhood and adolescence, growth hormone plays an essential role in normal longitudinal growth, muscle and bone strength, and distribution of body fat. In adults, growth hormone contributes to body composition, cardiovascular function, and bone health. These daily hGH therapies have been shown to be safe and well-tolerated.</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both therapy-compliant children and adults with GHD, daily subcutaneous injections of hGH have resulted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ind w:right="100"/>
        <w:spacing w:after="0" w:line="272" w:lineRule="auto"/>
        <w:rPr>
          <w:sz w:val="20"/>
          <w:szCs w:val="20"/>
          <w:color w:val="auto"/>
        </w:rPr>
      </w:pPr>
      <w:r>
        <w:rPr>
          <w:rFonts w:ascii="Times New Roman" w:cs="Times New Roman" w:eastAsia="Times New Roman" w:hAnsi="Times New Roman"/>
          <w:sz w:val="17"/>
          <w:szCs w:val="17"/>
          <w:color w:val="auto"/>
        </w:rPr>
        <w:t>Despite the demonstrated benefits of daily hGH therapy, many GHD patients are not adequately treated and adherence continues to be a challenge, as reported in a 2021 paper published by Kaplowitz et al. in the Journal of Managed Care and Specialty Pharmacy.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w:t>
      </w:r>
    </w:p>
    <w:p>
      <w:pPr>
        <w:spacing w:after="0" w:line="171" w:lineRule="exact"/>
        <w:rPr>
          <w:sz w:val="20"/>
          <w:szCs w:val="20"/>
          <w:color w:val="auto"/>
        </w:rPr>
      </w:pPr>
    </w:p>
    <w:p>
      <w:pPr>
        <w:jc w:val="both"/>
        <w:ind w:right="260"/>
        <w:spacing w:after="0" w:line="287" w:lineRule="auto"/>
        <w:rPr>
          <w:sz w:val="20"/>
          <w:szCs w:val="20"/>
          <w:color w:val="auto"/>
        </w:rPr>
      </w:pPr>
      <w:r>
        <w:rPr>
          <w:rFonts w:ascii="Times New Roman" w:cs="Times New Roman" w:eastAsia="Times New Roman" w:hAnsi="Times New Roman"/>
          <w:sz w:val="17"/>
          <w:szCs w:val="17"/>
          <w:color w:val="auto"/>
        </w:rPr>
        <w:t>For adult patients with GHD, underdiagnosis and undertreatment are also a concern. Untreated adult GHD patients can experience reduced quality of life and increased risk of morbidity and mortality. A retrospective cohort study presented at ENDO 2023 analyzed an electronics health records database and selected adult patients with suspected AGHD. Of the 51,588 patients with suspected AGHD, fewer than 4% were treated with growth hormone.</w:t>
      </w:r>
    </w:p>
    <w:p>
      <w:pPr>
        <w:spacing w:after="0" w:line="160"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(Novo Nordisk A/S), Humatrope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(Eli Lilly and Company), Nutropin AQ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(Genentech, a Roche company), Genotropin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(Pfizer Inc.), Zomacton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(Ferring Pharmaceuticals, Inc.) and Omnitrope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(Sandoz GmbH) – contain unmodified somatropin (hGH) and are administered by subcutaneous injections. The global market for daily hGH products is largely composed of products from Novo Nordisk, Pfizer, Eli Lilly, Sandoz, Merck KGaA, and Roche, which together account for most of the global market share.</w:t>
      </w:r>
    </w:p>
    <w:p>
      <w:pPr>
        <w:spacing w:after="0" w:line="199"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current total hGH market, of which approximately half is for pediatric GHD.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Landscape for Long-Acting Growth Hormone Therapies</w:t>
      </w:r>
    </w:p>
    <w:p>
      <w:pPr>
        <w:spacing w:after="0" w:line="11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(hGH) and permanent modification of growth hormone:</w:t>
      </w:r>
    </w:p>
    <w:p>
      <w:pPr>
        <w:spacing w:after="0" w:line="68" w:lineRule="exact"/>
        <w:rPr>
          <w:sz w:val="20"/>
          <w:szCs w:val="20"/>
          <w:color w:val="auto"/>
        </w:rPr>
      </w:pPr>
    </w:p>
    <w:p>
      <w:pPr>
        <w:ind w:left="1020" w:right="40" w:hanging="504"/>
        <w:spacing w:after="0" w:line="245"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Unmodified somatropin (hGH): Two long-acting growth hormone products using encapsulation technologies previously received regulatory approval in the U.S. and Europe but were subsequently discontinued due to commercial challenges. These include Nutropin Depot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formerly marketed by Genentech, and Somatropin Biopartners, developed by LG Life Sciences and Biopartners GmbH. Nutropin Depot was approved in 1999 and later withdrawn; Somatropin Biopartners (LB03002), was approved by the European Medicines Agency (“EMA”) in 2013, and later withdrawn. We believe that the lack of market acceptance was a result of the various safety and tolerability issues that tend to arise with encapsulation technologies.</w:t>
      </w:r>
    </w:p>
    <w:p>
      <w:pPr>
        <w:spacing w:after="0" w:line="87" w:lineRule="exact"/>
        <w:rPr>
          <w:rFonts w:ascii="Times New Roman" w:cs="Times New Roman" w:eastAsia="Times New Roman" w:hAnsi="Times New Roman"/>
          <w:sz w:val="18"/>
          <w:szCs w:val="18"/>
          <w:color w:val="auto"/>
        </w:rPr>
      </w:pPr>
    </w:p>
    <w:p>
      <w:pPr>
        <w:ind w:left="1020" w:hanging="504"/>
        <w:spacing w:after="0" w:line="257"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w:t>
      </w:r>
    </w:p>
    <w:p>
      <w:pPr>
        <w:spacing w:after="0" w:line="190"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Novo Nordisk received regulatory approval in various countries and regions including the U.S., Japan, and EU for once-weekly somapacitan (SOGROYA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replacement of endogenous growth hormone in adult patients with GHD and pediatric patients with GHD.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2" w:name="page83"/>
    <w:bookmarkEnd w:id="82"/>
    <w:p>
      <w:pPr>
        <w:ind w:right="280"/>
        <w:spacing w:after="0" w:line="280" w:lineRule="auto"/>
        <w:rPr>
          <w:sz w:val="20"/>
          <w:szCs w:val="20"/>
          <w:color w:val="auto"/>
        </w:rPr>
      </w:pPr>
      <w:r>
        <w:rPr>
          <w:rFonts w:ascii="Times New Roman" w:cs="Times New Roman" w:eastAsia="Times New Roman" w:hAnsi="Times New Roman"/>
          <w:sz w:val="18"/>
          <w:szCs w:val="18"/>
          <w:color w:val="auto"/>
        </w:rPr>
        <w:t>Pfizer (in collaboration with OPKO Health Inc.) received regulatory approval of once-weekly somatrogon (NGENLA) in various countries and regions including the U.S., Japan, and EU for pediatric GHD.</w:t>
      </w:r>
    </w:p>
    <w:p>
      <w:pPr>
        <w:spacing w:after="0" w:line="170" w:lineRule="exact"/>
        <w:rPr>
          <w:sz w:val="20"/>
          <w:szCs w:val="20"/>
          <w:color w:val="auto"/>
        </w:rPr>
      </w:pPr>
    </w:p>
    <w:p>
      <w:pPr>
        <w:jc w:val="both"/>
        <w:ind w:right="160"/>
        <w:spacing w:after="0" w:line="233" w:lineRule="auto"/>
        <w:rPr>
          <w:sz w:val="20"/>
          <w:szCs w:val="20"/>
          <w:color w:val="auto"/>
        </w:rPr>
      </w:pPr>
      <w:r>
        <w:rPr>
          <w:rFonts w:ascii="Times New Roman" w:cs="Times New Roman" w:eastAsia="Times New Roman" w:hAnsi="Times New Roman"/>
          <w:sz w:val="18"/>
          <w:szCs w:val="18"/>
          <w:color w:val="auto"/>
        </w:rPr>
        <w:t>A permanently PEGylated long-acting growth hormone developed by GeneScience Pharmaceuticals Co., Ltd. (Jintrolong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available in China and the Somatropin Biopartners product (LB03002) is available in Korea. Other experimental growth hormone therapies based on permanent modification are in different stages of clinical development by various companies, including., Genexine Inc., I-MAB, and JCR Pharmaceuticals Co., Ltd.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hGH</w:t>
      </w:r>
    </w:p>
    <w:p>
      <w:pPr>
        <w:spacing w:after="0" w:line="118"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TransCon hGH is a prodrug composed of somatropin (“hGH”) that is transiently bound to a carrier and proprietary linker. TransCon hGH is administered once weekly and is designed to maintain the same mode of action as daily therapies by providing sustained release of active, unmodified somatropin, the same recombinant growth hormone molecule used in the daily hGH therapies that are the current standard of care.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pediatric GHD</w:t>
      </w:r>
    </w:p>
    <w:p>
      <w:pPr>
        <w:spacing w:after="0" w:line="15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TransCon hGH, marketed under the brand name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received regulatory approval in the U.S. for the treatment of pediatric patients one year and older who weigh at least 11.5 kg and have growth failure due to inadequate secretion of endogenous growth hormone, also known as growth hormone deficiency. SKYTROFA has been commercially available for prescription in the United States since October 2021. In the EU, we received marketing authorization for TransCon hGH – known by its brand name SKYTROFA (lonapegsomatropin) – as a once-weekly subcutaneous injection for the treatment of children and adolescents ages 3 to 18 years with growth failure due to insufficient secretion of endogenous growth hormone. SKYTROFA has been commercially available for prescription in Germany since September 2023.</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2023, we announced topline results from the completed enliGHten Trial, an open-label extension trial evaluating the long-term safety and efficacy of TransCon hGH as a once-weekly treatment for children and adolescents with growth hormone deficiency. The enliGHten Trial enrolled 298 participants (mean age 10.3 years) from the Phase 3 heiGHt Trial of treatment-naïve pediatric GHD patients and the Phase 3 fliGHt Trial of pediatric GHD patients switching from daily somatropin treatment. Patients in these trials received a total of up to 6 years of treatment with TransCon hGH. At the time of the enliGHten Trial closure, 81 participants were designated as treatment completers, based on their physician’s determination that treatment for pediatric GHD was no longer required. Of these treatment completers, 59% met or exceeded their average parental height standard deviation score (“SDS”), with mean TransCon hGH treatment duration of 3.2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 of TransCon hGH in Japanese Pediatric GHD</w:t>
      </w:r>
    </w:p>
    <w:p>
      <w:pPr>
        <w:spacing w:after="0" w:line="11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In our ongoing Phase 3 riGHt Trial, we are evaluating TransCon hGH as a treatment in Japanese children with GHD. The primary objective of the riGHt Trial is to evaluate and compare the annualized height velocity of approximately 40 Japanese prepubertal children with GHD treated with once-weekly TransCon hGH to that of children treated with a commercially available daily hGH formulation at 52 weeks. Enrollment in the riGHt trial was completed during the fourth quarter of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Auto-injector</w:t>
      </w:r>
    </w:p>
    <w:p>
      <w:pPr>
        <w:spacing w:after="0" w:line="12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SKYTROFA includes the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Auto-Injector and cartridges. The auto-injector provides for room temperature storage, includes an empty-all design, and is expected to last for at least four years. The device has a single, low-volume injection for the majority of patients of less than 0.6 mL and requires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579" w:right="4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2881630</wp:posOffset>
            </wp:positionH>
            <wp:positionV relativeFrom="page">
              <wp:posOffset>379095</wp:posOffset>
            </wp:positionV>
            <wp:extent cx="1759585" cy="2947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759585" cy="294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Our state-of-the-art auto-injector is designed to improve treatment compliance for children with GHD.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 – Endocrinology Rare Diseases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Other Indications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in Adults</w:t>
      </w:r>
    </w:p>
    <w:p>
      <w:pPr>
        <w:spacing w:after="0" w:line="1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are currently conducting the foresiGHt Trial, a global Phase 3 trial that aims to demonstrate the metabolic benefits of TransCon hGH in adults and with the primary objective to evaluate change in trunk fat percentage.</w:t>
      </w:r>
    </w:p>
    <w:p>
      <w:pPr>
        <w:spacing w:after="0" w:line="55"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In December 2023, we announced positive topline results from foresiGHt, a Phase 3 randomized, parallel-arm, placebo-controlled (double-blind) and active-controlled (open-label) trial to compare the efficacy and safety of TransCon hGH with placebo and daily hGH in adults with GHD.</w:t>
      </w:r>
    </w:p>
    <w:p>
      <w:pPr>
        <w:spacing w:after="0" w:line="55"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8"/>
          <w:szCs w:val="18"/>
          <w:color w:val="auto"/>
        </w:rPr>
        <w:t>The foresiGHt Trial evaluated 259 adults with GHD aged 23 to 80 years old, randomized 1:1:1, titrated to receive a target fixed dose of TransCon hGH, placebo, or daily hGH based on age and oral estrogen intake, with approximately equivalent hGH mg/week for TransCon hGH and daily hGH.</w:t>
      </w:r>
    </w:p>
    <w:p>
      <w:pPr>
        <w:spacing w:after="0" w:line="29" w:lineRule="exact"/>
        <w:rPr>
          <w:sz w:val="20"/>
          <w:szCs w:val="20"/>
          <w:color w:val="auto"/>
        </w:rPr>
      </w:pPr>
    </w:p>
    <w:p>
      <w:pPr>
        <w:ind w:left="1020" w:hanging="504"/>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demonstrated superiority on its primary efficacy endpoint at Week 38:</w:t>
      </w:r>
    </w:p>
    <w:p>
      <w:pPr>
        <w:spacing w:after="0" w:line="115" w:lineRule="exact"/>
        <w:rPr>
          <w:rFonts w:ascii="Times New Roman" w:cs="Times New Roman" w:eastAsia="Times New Roman" w:hAnsi="Times New Roman"/>
          <w:sz w:val="18"/>
          <w:szCs w:val="18"/>
          <w:color w:val="auto"/>
        </w:rPr>
      </w:pPr>
    </w:p>
    <w:p>
      <w:pPr>
        <w:ind w:left="1540" w:right="40" w:hanging="51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oChange from baseline in trunk percent fat as measured by dual x-ray absorptiometry (TransCon hGH -1.67% vs. placebo +0.37%, LS mean difference = -2.04%, p &lt; 0.0001)</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demonstrated superiority on its key secondary efficacy endpoints at Week 38:</w:t>
      </w:r>
    </w:p>
    <w:p>
      <w:pPr>
        <w:spacing w:after="0" w:line="115" w:lineRule="exact"/>
        <w:rPr>
          <w:rFonts w:ascii="Times New Roman" w:cs="Times New Roman" w:eastAsia="Times New Roman" w:hAnsi="Times New Roman"/>
          <w:sz w:val="18"/>
          <w:szCs w:val="18"/>
          <w:color w:val="auto"/>
        </w:rPr>
      </w:pPr>
    </w:p>
    <w:p>
      <w:pPr>
        <w:ind w:left="1540" w:right="440" w:hanging="51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oChange from baseline in total body lean mass (TransCon hGH +1.60 kg vs placebo -0.10 kg, LS mean difference = 1.70 kg, p &lt; 0.0001)</w:t>
      </w:r>
    </w:p>
    <w:p>
      <w:pPr>
        <w:spacing w:after="0" w:line="5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trunk fat mass (TransCon hGH -0.48 kg vs placebo +0.22 kg, LS mean difference = -0.70 kg, p = 0.0053)</w:t>
      </w:r>
    </w:p>
    <w:p>
      <w:pPr>
        <w:spacing w:after="0" w:line="115" w:lineRule="exact"/>
        <w:rPr>
          <w:rFonts w:ascii="Times New Roman" w:cs="Times New Roman" w:eastAsia="Times New Roman" w:hAnsi="Times New Roman"/>
          <w:sz w:val="18"/>
          <w:szCs w:val="18"/>
          <w:color w:val="auto"/>
        </w:rPr>
      </w:pPr>
    </w:p>
    <w:p>
      <w:pPr>
        <w:ind w:left="1020" w:right="100" w:hanging="504"/>
        <w:spacing w:after="0" w:line="280"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Exploratory post-hoc analysis at Week 38 demonstrated comparable treatment effect of TransCon hGH and daily hGH on target tissues. For patients with IGF-1 SDS levels ≤ 1.75 at Week 38:</w:t>
      </w:r>
    </w:p>
    <w:p>
      <w:pPr>
        <w:spacing w:after="0" w:line="55" w:lineRule="exact"/>
        <w:rPr>
          <w:sz w:val="20"/>
          <w:szCs w:val="20"/>
          <w:color w:val="auto"/>
        </w:rPr>
      </w:pPr>
    </w:p>
    <w:p>
      <w:pPr>
        <w:ind w:left="5540" w:right="3180" w:hanging="4514"/>
        <w:spacing w:after="0" w:line="280" w:lineRule="auto"/>
        <w:tabs>
          <w:tab w:leader="none" w:pos="15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from baseline in trunk percent fat (TransCon hGH -2.42% vs. daily hGH -2.59%)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4" w:name="page85"/>
    <w:bookmarkEnd w:id="84"/>
    <w:p>
      <w:pPr>
        <w:ind w:left="1540" w:hanging="514"/>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from baseline in total body lean mass (TransCon hGH +1.70 kg vs daily hGH +1.37 kg)</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from baseline in trunk fat mass (TransCon hGH -0.90 kg vs daily hGH -0.94 kg)</w:t>
      </w:r>
    </w:p>
    <w:p>
      <w:pPr>
        <w:spacing w:after="0" w:line="115" w:lineRule="exact"/>
        <w:rPr>
          <w:rFonts w:ascii="Times New Roman" w:cs="Times New Roman" w:eastAsia="Times New Roman" w:hAnsi="Times New Roman"/>
          <w:sz w:val="18"/>
          <w:szCs w:val="18"/>
          <w:color w:val="auto"/>
        </w:rPr>
      </w:pPr>
    </w:p>
    <w:p>
      <w:pPr>
        <w:ind w:left="1020" w:right="700" w:hanging="504"/>
        <w:spacing w:after="0" w:line="280"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was generally safe and well tolerated, with no discontinuations related to study drug and with comparable safety and tolerability to daily hGH.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 Plans</w:t>
      </w:r>
    </w:p>
    <w:p>
      <w:pPr>
        <w:spacing w:after="0" w:line="11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In June 2022, we initiated the Phase 2 New InsiGHTS Trial in the U.S. to evaluate TransCon hGH in Turner syndrome. In this trial, we are evaluating higher doses of TransCon hGH and daily hGH for Turner syndrome compared to doses for pediatric or adult GHD. Topline results from New InsiGHTS are expected in the fourth quarter of 2024. In addition, we are considering other potential indications for TransCon hGH where we believe a long-acting hGH therapy may offer benefits to patients with rare growth disorders, including in combination with our TransCon CNP product candidate in achondroplasia.</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Hypoparathyroidism</w:t>
      </w:r>
    </w:p>
    <w:p>
      <w:pPr>
        <w:spacing w:after="0" w:line="10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Hypoparathyroidism is a rare endocrine disease characterized by insufficient levels of parathyroid hormone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PTH</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Most patients with hypoparathyroidism develop the condition following damage to or accidental removal of the parathyroid glands during thyroid surgery. Post-surgical hypoparathyroidism accounts for the majority of cases (70-80%); other etiologies include autoimmune disorders, genetic disorders such as autosomal dominant hypocalcemia type 1 (“ADH1”), and idiopathic causes. Conventional therapy with oral calcium and active vitamin D (also called calcitriol) does not effectively address the short-term symptoms, long-term complications, or quality-of-life impacts of hypoparathyroidism.</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Short-term symptoms include weakness, severe muscle cramps (tetany), abnormal sensations such as tingling, burning and numbness (paresthesia), memory loss, impaired judgment, and headache. Patients often experience decreased quality of life, and, over the long term, prolonged use of conventional therapy may increase risk of major complications, such as calcium deposits in the brain, blood vessels, eye, and other soft tissues. According to a recent systematic literature review, chronic hypoparathyroidism treated with conventional therapy is associated with higher rates of renal complications compared to the general population, such as nephrolithiasis (up to 36%), nephrocalcinosis (up to 38%), and chronic kidney disease (up to 41%). Hypoparathyroidism remains among the few hormonal insufficiency states without a replacement therapy that restores the missing hormone at physiologic levels.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Hypoparathyroidism also poses a high burden on the healthcare system despite current conventional therapy. For example, one survey of 374 patients showed that 72% experienced more than ten symptoms in the preceding twelve months, with symptoms experienced for a mean of 13 ± 9 hours a day. Other studies showed that 79% of hypoparathyroidism cases require hospitalizations and that patients with the disease have a four-fold increase in the risk of renal disease compared to healthy controls. Patients often experience decreased quality of life. We conducted a survey of 42 patients which found that 100% of patients reported negative psychological impacts, interference with daily life and impact on physical functioning from HP, and that 76% were either no longer able to work or experienced interference with work productivity.</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who are intolerant of large doses of calcium and active vitamin D may also benefit from PTH replacement therapy. Based on this current guideline, we believe PTH replacement therapy could be applicable to most patients with hypoparathyroidism.</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85" w:name="page86"/>
    <w:bookmarkEnd w:id="85"/>
    <w:p>
      <w:pPr>
        <w:ind w:right="100"/>
        <w:spacing w:after="0" w:line="241" w:lineRule="auto"/>
        <w:rPr>
          <w:sz w:val="20"/>
          <w:szCs w:val="20"/>
          <w:color w:val="auto"/>
        </w:rPr>
      </w:pPr>
      <w:r>
        <w:rPr>
          <w:rFonts w:ascii="Times New Roman" w:cs="Times New Roman" w:eastAsia="Times New Roman" w:hAnsi="Times New Roman"/>
          <w:sz w:val="18"/>
          <w:szCs w:val="18"/>
          <w:color w:val="auto"/>
        </w:rPr>
        <w:t>Currently, an effective PTH replacement therapy that fully addresses the condition is not widely available to patients with hypoparathyroidism. In 2015, NATPARA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(parathyroid hormone) for injection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will discontinue manufacturing NATPARA/NATPAR globally by the end of 2024.</w:t>
      </w:r>
    </w:p>
    <w:p>
      <w:pPr>
        <w:spacing w:after="0" w:line="19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are also aware of several academic groups and companies working on making longer-acting agonists of the PTH receptor (“PTH1R”). In addition, other companies and groups are developing or commercializing therapies for hypoparathyroidism, including Calcilytix (a BridgeBio company), Entera Bio, Extend Biosciences, Massachusetts General Hospital, Amolyt Pharma, and MBX Biosciences.</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Teriparatide, PTH (1-34), approved since 2002 for the treatment of osteoporosis, has sometimes been used for treatment of hypoparathyroidism using multiple daily injections, despite not being approved for this indication. Clinical research conducted by the National Institutes of Health (“NIH”) in subjects receiving continuous exposure to PTH (1-34), administered by an infusion pump, demonstrated simultaneous normalization of sCa and urinary calcium, as well as normalization of bone turnover.</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estimate hypoparathyroidism affects over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over 100,000 patients in the rest of Europe.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PTH</w:t>
      </w:r>
    </w:p>
    <w:p>
      <w:pPr>
        <w:spacing w:after="0" w:line="11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TransCon PTH (palopegteriparatide) is an investigational prodrug of PTH (1-34) that is designed to be dosed once-daily to achieve and maintain a steady concentration of PTH in the bloodstream within the normal range, at levels similar to those observed in healthy individuals. TransCon PTH is designed to provide PTH in the physiological range for 24 hours per day, thereby more fully addressing all aspects of the disease, including normalizing serum and urinary calcium and serum phosphate levels.</w:t>
      </w:r>
    </w:p>
    <w:p>
      <w:pPr>
        <w:spacing w:after="0" w:line="183"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8"/>
          <w:szCs w:val="18"/>
          <w:color w:val="auto"/>
        </w:rPr>
        <w:t>With once-daily dosing, we believe this substantial half-life extension of PTH could more closely reflect the physiological levels of PTH observed in healthy individuals, thereby maintaining blood calcium levels and normalizing urinary calcium excretion. By providing steady levels of PTH in the physiological range, we believe TransCon PTH can address the fundamental limitations of PTH therapies with short half-life molecules and become a highly differentiated therapy for hypoparathyroidism.</w:t>
      </w:r>
    </w:p>
    <w:p>
      <w:pPr>
        <w:spacing w:after="0" w:line="191" w:lineRule="exact"/>
        <w:rPr>
          <w:sz w:val="20"/>
          <w:szCs w:val="20"/>
          <w:color w:val="auto"/>
        </w:rPr>
      </w:pPr>
    </w:p>
    <w:p>
      <w:pPr>
        <w:ind w:right="600"/>
        <w:spacing w:after="0" w:line="218" w:lineRule="auto"/>
        <w:rPr>
          <w:sz w:val="20"/>
          <w:szCs w:val="20"/>
          <w:color w:val="auto"/>
        </w:rPr>
      </w:pPr>
      <w:r>
        <w:rPr>
          <w:rFonts w:ascii="Times New Roman" w:cs="Times New Roman" w:eastAsia="Times New Roman" w:hAnsi="Times New Roman"/>
          <w:sz w:val="18"/>
          <w:szCs w:val="18"/>
          <w:color w:val="auto"/>
        </w:rPr>
        <w:t>In November 2023, TransCon PTH received regulatory approval in the EU and other territories and will be marketed in the EU as YORVIPATH</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 parathyroid hormone (PTH) replacement therapy indicated for the treatment of adults with chronic hypoparathyroidism.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2024, we announced that YORVIPATH is commercially available in Germany and Austria.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PTH for Adult Hypoparathyroidism</w:t>
      </w:r>
    </w:p>
    <w:p>
      <w:pPr>
        <w:spacing w:after="0" w:line="11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ongoing Phase 3 PaTHway Trial, Phase 3 PaTHway Japan Trial, and Phase 2 PaTH Forward Trial are evaluating TransCon PTH in adult patients with hypoparathyroidism. Following the primary outcome period, all three trials continue in the open-label extension portion to collect long-term data.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86" w:name="page87"/>
    <w:bookmarkEnd w:id="86"/>
    <w:p>
      <w:pPr>
        <w:ind w:right="60"/>
        <w:spacing w:after="0" w:line="254" w:lineRule="auto"/>
        <w:rPr>
          <w:sz w:val="20"/>
          <w:szCs w:val="20"/>
          <w:color w:val="auto"/>
        </w:rPr>
      </w:pPr>
      <w:r>
        <w:rPr>
          <w:rFonts w:ascii="Times New Roman" w:cs="Times New Roman" w:eastAsia="Times New Roman" w:hAnsi="Times New Roman"/>
          <w:sz w:val="18"/>
          <w:szCs w:val="18"/>
          <w:color w:val="auto"/>
        </w:rPr>
        <w:t>In December 2023, we announced that the FDA accepted for review our resubmitted New Drug Application (“NDA”) for TransCon PTH (palopegteriparatide) for the treatment of adult patients with hypoparathyroidism. The agency considered the resubmission a complete, class 2 response and set a PDUFA goal date of May 14, 2024. In the U.S., TransCon PTH (palopegteriparatide) is an investigational prodrug of parathyroid hormone (PTH [1-34]) for adult patients with hypoparathyroidism. The resubmission followed the Type A meeting held with the FDA in late August, held after the FDA's issuance of a complete response letter (“CRL”) in May 2023 for the TransCon PTH (palopegteriparatide) NDA for the treatment of adults with hypoparathyroidism. In the CRL, the FDA cited concerns related to the manufacturing control strategy for variability of delivered dose in the TransCon PTH drug/device combination product. The FDA did not express concern in the CRL about the clinical data submitted as part of the NDA package and no new preclinical studies, or Phase 3 clinical trials to evaluate safety or efficacy, were requested in the letter.</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2023, we announced new post hoc analysis showing adults with hypoparathyroidism treated with TransCon PTH demonstrated substantial improvement in estimated glomerular filtration rate (“eGFR”), suggesting improved kidney function. In the Phase 3 PaTHway Trial, mean baseline eGFR was 67.3 and 72.7 mL/min/1.73m2 for subjects randomized to TransCon PTH and placebo, respectively. At Week 26, patients treated with TransCon PTH experienced a mean increase in eGFR of 7.9 mL/min/1.73m2 compared to baseline (p&lt;0.0001) while those on placebo experienced a mean decrease in eGFR of -1.9 mL/min/1.73m2 compared to baseline (p=0.3468). By Week 52, patients treated with TransCon PTH, including those crossing over from placebo, experienced a mean increase in eGFR of 8.9 mL/min/1.73m2 compared to baseline (p&lt;0.0001). The improvement at Week 52 was even greater, for patients with eGFR &lt;60 at baseline, the threshold for impaired kidney function, experiencing a mean increase in eGFR of 11.5 mL/min/1.73m2.</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PaTHway: eGFR Change from Baseline by eGFR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24130</wp:posOffset>
            </wp:positionV>
            <wp:extent cx="33655" cy="187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24130</wp:posOffset>
            </wp:positionV>
            <wp:extent cx="33655" cy="1879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24130</wp:posOffset>
            </wp:positionV>
            <wp:extent cx="33655" cy="1879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187960"/>
                    </a:xfrm>
                    <a:prstGeom prst="rect">
                      <a:avLst/>
                    </a:prstGeom>
                    <a:noFill/>
                  </pic:spPr>
                </pic:pic>
              </a:graphicData>
            </a:graphic>
          </wp:anchor>
        </w:drawing>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220" w:type="dxa"/>
            <w:vAlign w:val="bottom"/>
            <w:tcBorders>
              <w:top w:val="single" w:sz="8" w:color="auto"/>
              <w:left w:val="single" w:sz="8" w:color="EEECE1"/>
              <w:right w:val="single" w:sz="8" w:color="EEECE1"/>
            </w:tcBorders>
            <w:shd w:val="clear" w:color="auto" w:fill="EEECE1"/>
          </w:tcPr>
          <w:p>
            <w:pPr>
              <w:spacing w:after="0"/>
              <w:rPr>
                <w:sz w:val="21"/>
                <w:szCs w:val="21"/>
                <w:color w:val="auto"/>
              </w:rPr>
            </w:pPr>
          </w:p>
        </w:tc>
        <w:tc>
          <w:tcPr>
            <w:tcW w:w="2080" w:type="dxa"/>
            <w:vAlign w:val="bottom"/>
            <w:tcBorders>
              <w:top w:val="single" w:sz="8" w:color="auto"/>
              <w:right w:val="single" w:sz="8" w:color="EEECE1"/>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Baseline</w:t>
            </w:r>
          </w:p>
        </w:tc>
        <w:tc>
          <w:tcPr>
            <w:tcW w:w="1040" w:type="dxa"/>
            <w:vAlign w:val="bottom"/>
            <w:tcBorders>
              <w:top w:val="single" w:sz="8" w:color="auto"/>
              <w:right w:val="single" w:sz="8" w:color="EEECE1"/>
            </w:tcBorders>
            <w:shd w:val="clear" w:color="auto" w:fill="EEECE1"/>
          </w:tcPr>
          <w:p>
            <w:pPr>
              <w:spacing w:after="0"/>
              <w:rPr>
                <w:sz w:val="21"/>
                <w:szCs w:val="21"/>
                <w:color w:val="auto"/>
              </w:rPr>
            </w:pPr>
          </w:p>
        </w:tc>
        <w:tc>
          <w:tcPr>
            <w:tcW w:w="1940" w:type="dxa"/>
            <w:vAlign w:val="bottom"/>
            <w:tcBorders>
              <w:top w:val="single" w:sz="8" w:color="auto"/>
              <w:right w:val="single" w:sz="8" w:color="auto"/>
            </w:tcBorders>
            <w:shd w:val="clear" w:color="auto" w:fill="EEECE1"/>
          </w:tcPr>
          <w:p>
            <w:pPr>
              <w:ind w:left="100"/>
              <w:spacing w:after="0"/>
              <w:rPr>
                <w:sz w:val="20"/>
                <w:szCs w:val="20"/>
                <w:color w:val="auto"/>
              </w:rPr>
            </w:pPr>
            <w:r>
              <w:rPr>
                <w:rFonts w:ascii="Times New Roman" w:cs="Times New Roman" w:eastAsia="Times New Roman" w:hAnsi="Times New Roman"/>
                <w:sz w:val="18"/>
                <w:szCs w:val="18"/>
                <w:b w:val="1"/>
                <w:bCs w:val="1"/>
                <w:color w:val="auto"/>
              </w:rPr>
              <w:t>Week 26</w:t>
            </w:r>
          </w:p>
        </w:tc>
        <w:tc>
          <w:tcPr>
            <w:tcW w:w="900" w:type="dxa"/>
            <w:vAlign w:val="bottom"/>
            <w:tcBorders>
              <w:top w:val="single" w:sz="8" w:color="auto"/>
              <w:right w:val="single" w:sz="8" w:color="EEECE1"/>
            </w:tcBorders>
            <w:shd w:val="clear" w:color="auto" w:fill="EEECE1"/>
          </w:tcPr>
          <w:p>
            <w:pPr>
              <w:spacing w:after="0"/>
              <w:rPr>
                <w:sz w:val="21"/>
                <w:szCs w:val="21"/>
                <w:color w:val="auto"/>
              </w:rPr>
            </w:pPr>
          </w:p>
        </w:tc>
        <w:tc>
          <w:tcPr>
            <w:tcW w:w="2060" w:type="dxa"/>
            <w:vAlign w:val="bottom"/>
            <w:tcBorders>
              <w:top w:val="single" w:sz="8" w:color="auto"/>
              <w:right w:val="single" w:sz="8" w:color="auto"/>
            </w:tcBorders>
            <w:shd w:val="clear" w:color="auto" w:fill="EEECE1"/>
          </w:tcPr>
          <w:p>
            <w:pPr>
              <w:ind w:left="240"/>
              <w:spacing w:after="0"/>
              <w:rPr>
                <w:sz w:val="20"/>
                <w:szCs w:val="20"/>
                <w:color w:val="auto"/>
              </w:rPr>
            </w:pPr>
            <w:r>
              <w:rPr>
                <w:rFonts w:ascii="Times New Roman" w:cs="Times New Roman" w:eastAsia="Times New Roman" w:hAnsi="Times New Roman"/>
                <w:sz w:val="18"/>
                <w:szCs w:val="18"/>
                <w:b w:val="1"/>
                <w:bCs w:val="1"/>
                <w:color w:val="auto"/>
              </w:rPr>
              <w:t>Week 52</w:t>
            </w:r>
          </w:p>
        </w:tc>
      </w:tr>
      <w:tr>
        <w:trPr>
          <w:trHeight w:val="184"/>
        </w:trPr>
        <w:tc>
          <w:tcPr>
            <w:tcW w:w="3220" w:type="dxa"/>
            <w:vAlign w:val="bottom"/>
            <w:tcBorders>
              <w:top w:val="single" w:sz="8" w:color="EEECE1"/>
              <w:left w:val="single" w:sz="8" w:color="auto"/>
              <w:right w:val="single" w:sz="8" w:color="auto"/>
            </w:tcBorders>
            <w:shd w:val="clear" w:color="auto" w:fill="EEECE1"/>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Study Arm</w:t>
            </w:r>
          </w:p>
        </w:tc>
        <w:tc>
          <w:tcPr>
            <w:tcW w:w="2080" w:type="dxa"/>
            <w:vAlign w:val="bottom"/>
            <w:tcBorders>
              <w:top w:val="single" w:sz="8" w:color="EEECE1"/>
              <w:right w:val="single" w:sz="8" w:color="auto"/>
            </w:tcBorders>
            <w:shd w:val="clear" w:color="auto" w:fill="EEECE1"/>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eGFR</w:t>
            </w:r>
          </w:p>
        </w:tc>
        <w:tc>
          <w:tcPr>
            <w:tcW w:w="1040" w:type="dxa"/>
            <w:vAlign w:val="bottom"/>
            <w:tcBorders>
              <w:top w:val="single" w:sz="8" w:color="auto"/>
              <w:right w:val="single" w:sz="8" w:color="auto"/>
            </w:tcBorders>
            <w:shd w:val="clear" w:color="auto" w:fill="EEECE1"/>
          </w:tcPr>
          <w:p>
            <w:pPr>
              <w:ind w:left="440"/>
              <w:spacing w:after="0" w:line="184" w:lineRule="exact"/>
              <w:rPr>
                <w:sz w:val="20"/>
                <w:szCs w:val="20"/>
                <w:color w:val="auto"/>
              </w:rPr>
            </w:pPr>
            <w:r>
              <w:rPr>
                <w:rFonts w:ascii="Times New Roman" w:cs="Times New Roman" w:eastAsia="Times New Roman" w:hAnsi="Times New Roman"/>
                <w:sz w:val="18"/>
                <w:szCs w:val="18"/>
                <w:b w:val="1"/>
                <w:bCs w:val="1"/>
                <w:color w:val="auto"/>
              </w:rPr>
              <w:t>N</w:t>
            </w:r>
          </w:p>
        </w:tc>
        <w:tc>
          <w:tcPr>
            <w:tcW w:w="1940" w:type="dxa"/>
            <w:vAlign w:val="bottom"/>
            <w:tcBorders>
              <w:top w:val="single" w:sz="8" w:color="auto"/>
              <w:right w:val="single" w:sz="8" w:color="auto"/>
            </w:tcBorders>
            <w:shd w:val="clear" w:color="auto" w:fill="EEECE1"/>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Mean</w:t>
            </w:r>
          </w:p>
        </w:tc>
        <w:tc>
          <w:tcPr>
            <w:tcW w:w="900" w:type="dxa"/>
            <w:vAlign w:val="bottom"/>
            <w:tcBorders>
              <w:top w:val="single" w:sz="8" w:color="auto"/>
              <w:right w:val="single" w:sz="8" w:color="auto"/>
            </w:tcBorders>
            <w:shd w:val="clear" w:color="auto" w:fill="EEECE1"/>
          </w:tcPr>
          <w:p>
            <w:pPr>
              <w:ind w:left="380"/>
              <w:spacing w:after="0" w:line="184" w:lineRule="exact"/>
              <w:rPr>
                <w:sz w:val="20"/>
                <w:szCs w:val="20"/>
                <w:color w:val="auto"/>
              </w:rPr>
            </w:pPr>
            <w:r>
              <w:rPr>
                <w:rFonts w:ascii="Times New Roman" w:cs="Times New Roman" w:eastAsia="Times New Roman" w:hAnsi="Times New Roman"/>
                <w:sz w:val="18"/>
                <w:szCs w:val="18"/>
                <w:b w:val="1"/>
                <w:bCs w:val="1"/>
                <w:color w:val="auto"/>
              </w:rPr>
              <w:t>N</w:t>
            </w:r>
          </w:p>
        </w:tc>
        <w:tc>
          <w:tcPr>
            <w:tcW w:w="2060" w:type="dxa"/>
            <w:vAlign w:val="bottom"/>
            <w:tcBorders>
              <w:top w:val="single" w:sz="8" w:color="auto"/>
              <w:right w:val="single" w:sz="8" w:color="auto"/>
            </w:tcBorders>
            <w:shd w:val="clear" w:color="auto" w:fill="EEECE1"/>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Mean</w:t>
            </w:r>
          </w:p>
        </w:tc>
      </w:tr>
      <w:tr>
        <w:trPr>
          <w:trHeight w:val="271"/>
        </w:trPr>
        <w:tc>
          <w:tcPr>
            <w:tcW w:w="3220" w:type="dxa"/>
            <w:vAlign w:val="bottom"/>
            <w:tcBorders>
              <w:left w:val="single" w:sz="8" w:color="auto"/>
              <w:bottom w:val="single" w:sz="8" w:color="auto"/>
              <w:right w:val="single" w:sz="8" w:color="auto"/>
            </w:tcBorders>
            <w:shd w:val="clear" w:color="auto" w:fill="EEECE1"/>
          </w:tcPr>
          <w:p>
            <w:pPr>
              <w:spacing w:after="0"/>
              <w:rPr>
                <w:sz w:val="23"/>
                <w:szCs w:val="23"/>
                <w:color w:val="auto"/>
              </w:rPr>
            </w:pPr>
          </w:p>
        </w:tc>
        <w:tc>
          <w:tcPr>
            <w:tcW w:w="2080" w:type="dxa"/>
            <w:vAlign w:val="bottom"/>
            <w:tcBorders>
              <w:bottom w:val="single" w:sz="8" w:color="auto"/>
              <w:right w:val="single" w:sz="8" w:color="auto"/>
            </w:tcBorders>
            <w:shd w:val="clear" w:color="auto" w:fill="EEECE1"/>
          </w:tcPr>
          <w:p>
            <w:pPr>
              <w:jc w:val="center"/>
              <w:spacing w:after="0" w:line="271" w:lineRule="exact"/>
              <w:rPr>
                <w:sz w:val="20"/>
                <w:szCs w:val="20"/>
                <w:color w:val="auto"/>
              </w:rPr>
            </w:pPr>
            <w:r>
              <w:rPr>
                <w:rFonts w:ascii="Times New Roman" w:cs="Times New Roman" w:eastAsia="Times New Roman" w:hAnsi="Times New Roman"/>
                <w:sz w:val="18"/>
                <w:szCs w:val="18"/>
                <w:b w:val="1"/>
                <w:bCs w:val="1"/>
                <w:color w:val="auto"/>
                <w:w w:val="97"/>
              </w:rPr>
              <w:t>(mL/min/1.73m</w:t>
            </w:r>
            <w:r>
              <w:rPr>
                <w:rFonts w:ascii="Times New Roman" w:cs="Times New Roman" w:eastAsia="Times New Roman" w:hAnsi="Times New Roman"/>
                <w:sz w:val="24"/>
                <w:szCs w:val="24"/>
                <w:b w:val="1"/>
                <w:bCs w:val="1"/>
                <w:color w:val="auto"/>
                <w:w w:val="97"/>
                <w:vertAlign w:val="superscript"/>
              </w:rPr>
              <w:t>2</w:t>
            </w:r>
            <w:r>
              <w:rPr>
                <w:rFonts w:ascii="Times New Roman" w:cs="Times New Roman" w:eastAsia="Times New Roman" w:hAnsi="Times New Roman"/>
                <w:sz w:val="18"/>
                <w:szCs w:val="18"/>
                <w:b w:val="1"/>
                <w:bCs w:val="1"/>
                <w:color w:val="auto"/>
                <w:w w:val="97"/>
              </w:rPr>
              <w:t>)</w:t>
            </w:r>
          </w:p>
        </w:tc>
        <w:tc>
          <w:tcPr>
            <w:tcW w:w="1040" w:type="dxa"/>
            <w:vAlign w:val="bottom"/>
            <w:tcBorders>
              <w:bottom w:val="single" w:sz="8" w:color="auto"/>
              <w:right w:val="single" w:sz="8" w:color="auto"/>
            </w:tcBorders>
            <w:shd w:val="clear" w:color="auto" w:fill="EEECE1"/>
          </w:tcPr>
          <w:p>
            <w:pPr>
              <w:spacing w:after="0"/>
              <w:rPr>
                <w:sz w:val="23"/>
                <w:szCs w:val="23"/>
                <w:color w:val="auto"/>
              </w:rPr>
            </w:pPr>
          </w:p>
        </w:tc>
        <w:tc>
          <w:tcPr>
            <w:tcW w:w="1940" w:type="dxa"/>
            <w:vAlign w:val="bottom"/>
            <w:tcBorders>
              <w:bottom w:val="single" w:sz="8" w:color="auto"/>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 value)</w:t>
            </w:r>
          </w:p>
        </w:tc>
        <w:tc>
          <w:tcPr>
            <w:tcW w:w="900" w:type="dxa"/>
            <w:vAlign w:val="bottom"/>
            <w:tcBorders>
              <w:bottom w:val="single" w:sz="8" w:color="auto"/>
              <w:right w:val="single" w:sz="8" w:color="auto"/>
            </w:tcBorders>
            <w:shd w:val="clear" w:color="auto" w:fill="EEECE1"/>
          </w:tcPr>
          <w:p>
            <w:pPr>
              <w:spacing w:after="0"/>
              <w:rPr>
                <w:sz w:val="23"/>
                <w:szCs w:val="23"/>
                <w:color w:val="auto"/>
              </w:rPr>
            </w:pPr>
          </w:p>
        </w:tc>
        <w:tc>
          <w:tcPr>
            <w:tcW w:w="2060" w:type="dxa"/>
            <w:vAlign w:val="bottom"/>
            <w:tcBorders>
              <w:bottom w:val="single" w:sz="8" w:color="auto"/>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b w:val="1"/>
                <w:bCs w:val="1"/>
                <w:color w:val="auto"/>
              </w:rPr>
              <w:t>(p value)</w:t>
            </w:r>
          </w:p>
        </w:tc>
      </w:tr>
      <w:tr>
        <w:trPr>
          <w:trHeight w:val="204"/>
        </w:trPr>
        <w:tc>
          <w:tcPr>
            <w:tcW w:w="322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18"/>
                <w:szCs w:val="18"/>
                <w:color w:val="auto"/>
              </w:rPr>
              <w:t>TransCon PTH / TransCon PTH</w:t>
            </w:r>
          </w:p>
        </w:tc>
        <w:tc>
          <w:tcPr>
            <w:tcW w:w="2080" w:type="dxa"/>
            <w:vAlign w:val="bottom"/>
            <w:tcBorders>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rPr>
              <w:t>eGFR &lt; 60</w:t>
            </w:r>
          </w:p>
        </w:tc>
        <w:tc>
          <w:tcPr>
            <w:tcW w:w="104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19</w:t>
            </w:r>
          </w:p>
        </w:tc>
        <w:tc>
          <w:tcPr>
            <w:tcW w:w="194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rPr>
              <w:t>+11.4</w:t>
            </w:r>
          </w:p>
        </w:tc>
        <w:tc>
          <w:tcPr>
            <w:tcW w:w="90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19</w:t>
            </w:r>
          </w:p>
        </w:tc>
        <w:tc>
          <w:tcPr>
            <w:tcW w:w="206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+11.5</w:t>
            </w:r>
          </w:p>
        </w:tc>
      </w:tr>
      <w:tr>
        <w:trPr>
          <w:trHeight w:val="240"/>
        </w:trPr>
        <w:tc>
          <w:tcPr>
            <w:tcW w:w="3220" w:type="dxa"/>
            <w:vAlign w:val="bottom"/>
            <w:tcBorders>
              <w:left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(p=0.0002)</w:t>
            </w:r>
          </w:p>
        </w:tc>
        <w:tc>
          <w:tcPr>
            <w:tcW w:w="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(p=0.0003)</w:t>
            </w:r>
          </w:p>
        </w:tc>
      </w:tr>
      <w:tr>
        <w:trPr>
          <w:trHeight w:val="210"/>
        </w:trPr>
        <w:tc>
          <w:tcPr>
            <w:tcW w:w="322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eGFR ≥ 60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+8.2</w:t>
            </w:r>
          </w:p>
        </w:tc>
      </w:tr>
      <w:tr>
        <w:trPr>
          <w:trHeight w:val="240"/>
        </w:trPr>
        <w:tc>
          <w:tcPr>
            <w:tcW w:w="3220" w:type="dxa"/>
            <w:vAlign w:val="bottom"/>
            <w:tcBorders>
              <w:left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(p=0.0002)</w:t>
            </w:r>
          </w:p>
        </w:tc>
        <w:tc>
          <w:tcPr>
            <w:tcW w:w="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 &lt;0.0001)</w:t>
            </w:r>
          </w:p>
        </w:tc>
      </w:tr>
      <w:tr>
        <w:trPr>
          <w:trHeight w:val="210"/>
        </w:trPr>
        <w:tc>
          <w:tcPr>
            <w:tcW w:w="322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r>
      <w:tr>
        <w:trPr>
          <w:trHeight w:val="240"/>
        </w:trPr>
        <w:tc>
          <w:tcPr>
            <w:tcW w:w="322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(p&lt; 0.0001)</w:t>
            </w:r>
          </w:p>
        </w:tc>
        <w:tc>
          <w:tcPr>
            <w:tcW w:w="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(p&lt;0.0001)</w:t>
            </w:r>
          </w:p>
        </w:tc>
      </w:tr>
      <w:tr>
        <w:trPr>
          <w:trHeight w:val="210"/>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Placebo (first 26 weeks) / TransCon</w:t>
            </w: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eGFR &lt; 60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+11.7</w:t>
            </w:r>
          </w:p>
        </w:tc>
      </w:tr>
      <w:tr>
        <w:trPr>
          <w:trHeight w:val="240"/>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PTH*</w:t>
            </w:r>
          </w:p>
        </w:tc>
        <w:tc>
          <w:tcPr>
            <w:tcW w:w="20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(p=0.9877)</w:t>
            </w:r>
          </w:p>
        </w:tc>
        <w:tc>
          <w:tcPr>
            <w:tcW w:w="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(p=0.0018)</w:t>
            </w:r>
          </w:p>
        </w:tc>
      </w:tr>
      <w:tr>
        <w:trPr>
          <w:trHeight w:val="210"/>
        </w:trPr>
        <w:tc>
          <w:tcPr>
            <w:tcW w:w="322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eGFR ≥ 60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r>
      <w:tr>
        <w:trPr>
          <w:trHeight w:val="240"/>
        </w:trPr>
        <w:tc>
          <w:tcPr>
            <w:tcW w:w="3220" w:type="dxa"/>
            <w:vAlign w:val="bottom"/>
            <w:tcBorders>
              <w:left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(p=0.3280)</w:t>
            </w:r>
          </w:p>
        </w:tc>
        <w:tc>
          <w:tcPr>
            <w:tcW w:w="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(p=0.0199)</w:t>
            </w:r>
          </w:p>
        </w:tc>
      </w:tr>
      <w:tr>
        <w:trPr>
          <w:trHeight w:val="210"/>
        </w:trPr>
        <w:tc>
          <w:tcPr>
            <w:tcW w:w="322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r>
      <w:tr>
        <w:trPr>
          <w:trHeight w:val="240"/>
        </w:trPr>
        <w:tc>
          <w:tcPr>
            <w:tcW w:w="322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(p=0.3468)</w:t>
            </w:r>
          </w:p>
        </w:tc>
        <w:tc>
          <w:tcPr>
            <w:tcW w:w="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(p=0.0014)</w:t>
            </w:r>
          </w:p>
        </w:tc>
      </w:tr>
    </w:tbl>
    <w:p>
      <w:pPr>
        <w:spacing w:after="0" w:line="8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eGFR (an assessment of kidney filtering capacity) was calculated by the trial’s central lab using the Modification of Diet in Renal Disease Study Group (“MDRD”) equation (Levey, Ann Intern Med 2006).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 in the placebo arm switched to TransCon PTH following the Week 26 visit.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7" w:name="page88"/>
    <w:bookmarkEnd w:id="87"/>
    <w:p>
      <w:pPr>
        <w:ind w:right="620"/>
        <w:spacing w:after="0" w:line="226" w:lineRule="auto"/>
        <w:rPr>
          <w:sz w:val="20"/>
          <w:szCs w:val="20"/>
          <w:color w:val="auto"/>
        </w:rPr>
      </w:pPr>
      <w:r>
        <w:rPr>
          <w:rFonts w:ascii="Times New Roman" w:cs="Times New Roman" w:eastAsia="Times New Roman" w:hAnsi="Times New Roman"/>
          <w:sz w:val="18"/>
          <w:szCs w:val="18"/>
          <w:color w:val="auto"/>
        </w:rPr>
        <w:t>Among patients with baseline eGFR &lt; 60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(considered the threshold for impaired kidney function), approximately 50% were able to improve their eGFR to &gt; 60 mL/min/1.73m2 with TransCon PTH therapy.</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4000" w:type="dxa"/>
            <w:vAlign w:val="bottom"/>
            <w:tcBorders>
              <w:top w:val="single" w:sz="8" w:color="auto"/>
              <w:left w:val="single" w:sz="8" w:color="auto"/>
              <w:right w:val="single" w:sz="8" w:color="auto"/>
            </w:tcBorders>
            <w:shd w:val="clear" w:color="auto" w:fill="E7E6E6"/>
          </w:tcPr>
          <w:p>
            <w:pPr>
              <w:spacing w:after="0"/>
              <w:rPr>
                <w:sz w:val="21"/>
                <w:szCs w:val="21"/>
                <w:color w:val="auto"/>
              </w:rPr>
            </w:pPr>
          </w:p>
        </w:tc>
        <w:tc>
          <w:tcPr>
            <w:tcW w:w="1700" w:type="dxa"/>
            <w:vAlign w:val="bottom"/>
            <w:tcBorders>
              <w:top w:val="single" w:sz="8" w:color="auto"/>
              <w:right w:val="single" w:sz="8" w:color="auto"/>
            </w:tcBorders>
            <w:shd w:val="clear" w:color="auto" w:fill="E7E6E6"/>
          </w:tcPr>
          <w:p>
            <w:pPr>
              <w:spacing w:after="0"/>
              <w:rPr>
                <w:sz w:val="21"/>
                <w:szCs w:val="21"/>
                <w:color w:val="auto"/>
              </w:rPr>
            </w:pPr>
          </w:p>
        </w:tc>
        <w:tc>
          <w:tcPr>
            <w:tcW w:w="2700" w:type="dxa"/>
            <w:vAlign w:val="bottom"/>
            <w:tcBorders>
              <w:top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Responders*</w:t>
            </w:r>
          </w:p>
        </w:tc>
        <w:tc>
          <w:tcPr>
            <w:tcW w:w="2840" w:type="dxa"/>
            <w:vAlign w:val="bottom"/>
            <w:tcBorders>
              <w:top w:val="single" w:sz="8" w:color="auto"/>
              <w:left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Responders*</w:t>
            </w:r>
          </w:p>
        </w:tc>
        <w:tc>
          <w:tcPr>
            <w:tcW w:w="0" w:type="dxa"/>
            <w:vAlign w:val="bottom"/>
          </w:tcPr>
          <w:p>
            <w:pPr>
              <w:spacing w:after="0"/>
              <w:rPr>
                <w:sz w:val="1"/>
                <w:szCs w:val="1"/>
                <w:color w:val="auto"/>
              </w:rPr>
            </w:pPr>
          </w:p>
        </w:tc>
      </w:tr>
      <w:tr>
        <w:trPr>
          <w:trHeight w:val="238"/>
        </w:trPr>
        <w:tc>
          <w:tcPr>
            <w:tcW w:w="4000" w:type="dxa"/>
            <w:vAlign w:val="bottom"/>
            <w:tcBorders>
              <w:left w:val="single" w:sz="8" w:color="auto"/>
              <w:right w:val="single" w:sz="8" w:color="auto"/>
            </w:tcBorders>
            <w:shd w:val="clear" w:color="auto" w:fill="E7E6E6"/>
          </w:tcPr>
          <w:p>
            <w:pPr>
              <w:spacing w:after="0"/>
              <w:rPr>
                <w:sz w:val="20"/>
                <w:szCs w:val="20"/>
                <w:color w:val="auto"/>
              </w:rPr>
            </w:pPr>
          </w:p>
        </w:tc>
        <w:tc>
          <w:tcPr>
            <w:tcW w:w="1700" w:type="dxa"/>
            <w:vAlign w:val="bottom"/>
            <w:tcBorders>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eGFR &lt; 60</w:t>
            </w:r>
          </w:p>
        </w:tc>
        <w:tc>
          <w:tcPr>
            <w:tcW w:w="2700" w:type="dxa"/>
            <w:vAlign w:val="bottom"/>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rPr>
              <w:t>(n, %)</w:t>
            </w:r>
          </w:p>
        </w:tc>
        <w:tc>
          <w:tcPr>
            <w:tcW w:w="2840" w:type="dxa"/>
            <w:vAlign w:val="bottom"/>
            <w:tcBorders>
              <w:left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w:t>
            </w:r>
          </w:p>
        </w:tc>
        <w:tc>
          <w:tcPr>
            <w:tcW w:w="0" w:type="dxa"/>
            <w:vAlign w:val="bottom"/>
          </w:tcPr>
          <w:p>
            <w:pPr>
              <w:spacing w:after="0"/>
              <w:rPr>
                <w:sz w:val="1"/>
                <w:szCs w:val="1"/>
                <w:color w:val="auto"/>
              </w:rPr>
            </w:pPr>
          </w:p>
        </w:tc>
      </w:tr>
      <w:tr>
        <w:trPr>
          <w:trHeight w:val="244"/>
        </w:trPr>
        <w:tc>
          <w:tcPr>
            <w:tcW w:w="4000" w:type="dxa"/>
            <w:vAlign w:val="bottom"/>
            <w:tcBorders>
              <w:left w:val="single" w:sz="8" w:color="auto"/>
              <w:bottom w:val="single" w:sz="8" w:color="auto"/>
              <w:right w:val="single" w:sz="8" w:color="auto"/>
            </w:tcBorders>
            <w:shd w:val="clear" w:color="auto" w:fill="E7E6E6"/>
          </w:tcPr>
          <w:p>
            <w:pPr>
              <w:spacing w:after="0"/>
              <w:rPr>
                <w:sz w:val="21"/>
                <w:szCs w:val="21"/>
                <w:color w:val="auto"/>
              </w:rPr>
            </w:pPr>
          </w:p>
        </w:tc>
        <w:tc>
          <w:tcPr>
            <w:tcW w:w="170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Baseline (n)</w:t>
            </w:r>
          </w:p>
        </w:tc>
        <w:tc>
          <w:tcPr>
            <w:tcW w:w="2700" w:type="dxa"/>
            <w:vAlign w:val="bottom"/>
            <w:tcBorders>
              <w:bottom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Week 26</w:t>
            </w:r>
          </w:p>
        </w:tc>
        <w:tc>
          <w:tcPr>
            <w:tcW w:w="2840" w:type="dxa"/>
            <w:vAlign w:val="bottom"/>
            <w:tcBorders>
              <w:left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Week 52</w:t>
            </w:r>
          </w:p>
        </w:tc>
        <w:tc>
          <w:tcPr>
            <w:tcW w:w="0" w:type="dxa"/>
            <w:vAlign w:val="bottom"/>
          </w:tcPr>
          <w:p>
            <w:pPr>
              <w:spacing w:after="0"/>
              <w:rPr>
                <w:sz w:val="1"/>
                <w:szCs w:val="1"/>
                <w:color w:val="auto"/>
              </w:rPr>
            </w:pPr>
          </w:p>
        </w:tc>
      </w:tr>
      <w:tr>
        <w:trPr>
          <w:trHeight w:val="234"/>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TransCon PTH / TransCon PTH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n=19</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n=12</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n=10</w:t>
            </w:r>
          </w:p>
        </w:tc>
        <w:tc>
          <w:tcPr>
            <w:tcW w:w="0" w:type="dxa"/>
            <w:vAlign w:val="bottom"/>
          </w:tcPr>
          <w:p>
            <w:pPr>
              <w:spacing w:after="0"/>
              <w:rPr>
                <w:sz w:val="1"/>
                <w:szCs w:val="1"/>
                <w:color w:val="auto"/>
              </w:rPr>
            </w:pPr>
          </w:p>
        </w:tc>
      </w:tr>
      <w:tr>
        <w:trPr>
          <w:trHeight w:val="22"/>
        </w:trPr>
        <w:tc>
          <w:tcPr>
            <w:tcW w:w="4000" w:type="dxa"/>
            <w:vAlign w:val="bottom"/>
            <w:tcBorders>
              <w:left w:val="single" w:sz="8" w:color="auto"/>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0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2700" w:type="dxa"/>
            <w:vAlign w:val="bottom"/>
            <w:vMerge w:val="continue"/>
          </w:tcPr>
          <w:p>
            <w:pPr>
              <w:spacing w:after="0"/>
              <w:rPr>
                <w:sz w:val="19"/>
                <w:szCs w:val="19"/>
                <w:color w:val="auto"/>
              </w:rPr>
            </w:pPr>
          </w:p>
        </w:tc>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0" w:type="dxa"/>
            <w:vAlign w:val="bottom"/>
          </w:tcPr>
          <w:p>
            <w:pPr>
              <w:spacing w:after="0"/>
              <w:rPr>
                <w:sz w:val="1"/>
                <w:szCs w:val="1"/>
                <w:color w:val="auto"/>
              </w:rPr>
            </w:pPr>
          </w:p>
        </w:tc>
      </w:tr>
      <w:tr>
        <w:trPr>
          <w:trHeight w:val="22"/>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Placebo (first 26 weeks) / TransCon PTH**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n=4</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n=3</w:t>
            </w:r>
          </w:p>
        </w:tc>
        <w:tc>
          <w:tcPr>
            <w:tcW w:w="0" w:type="dxa"/>
            <w:vAlign w:val="bottom"/>
          </w:tcPr>
          <w:p>
            <w:pPr>
              <w:spacing w:after="0"/>
              <w:rPr>
                <w:sz w:val="1"/>
                <w:szCs w:val="1"/>
                <w:color w:val="auto"/>
              </w:rPr>
            </w:pPr>
          </w:p>
        </w:tc>
      </w:tr>
      <w:tr>
        <w:trPr>
          <w:trHeight w:val="22"/>
        </w:trPr>
        <w:tc>
          <w:tcPr>
            <w:tcW w:w="4000" w:type="dxa"/>
            <w:vAlign w:val="bottom"/>
            <w:tcBorders>
              <w:left w:val="single" w:sz="8" w:color="auto"/>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0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2700" w:type="dxa"/>
            <w:vAlign w:val="bottom"/>
            <w:vMerge w:val="continue"/>
          </w:tcPr>
          <w:p>
            <w:pPr>
              <w:spacing w:after="0"/>
              <w:rPr>
                <w:sz w:val="19"/>
                <w:szCs w:val="19"/>
                <w:color w:val="auto"/>
              </w:rPr>
            </w:pPr>
          </w:p>
        </w:tc>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22"/>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PaTHway Trial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n=23</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n=12</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n=13</w:t>
            </w:r>
          </w:p>
        </w:tc>
        <w:tc>
          <w:tcPr>
            <w:tcW w:w="0" w:type="dxa"/>
            <w:vAlign w:val="bottom"/>
          </w:tcPr>
          <w:p>
            <w:pPr>
              <w:spacing w:after="0"/>
              <w:rPr>
                <w:sz w:val="1"/>
                <w:szCs w:val="1"/>
                <w:color w:val="auto"/>
              </w:rPr>
            </w:pPr>
          </w:p>
        </w:tc>
      </w:tr>
      <w:tr>
        <w:trPr>
          <w:trHeight w:val="22"/>
        </w:trPr>
        <w:tc>
          <w:tcPr>
            <w:tcW w:w="4000" w:type="dxa"/>
            <w:vAlign w:val="bottom"/>
            <w:tcBorders>
              <w:left w:val="single" w:sz="8" w:color="auto"/>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00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2700" w:type="dxa"/>
            <w:vAlign w:val="bottom"/>
            <w:vMerge w:val="continue"/>
          </w:tcPr>
          <w:p>
            <w:pPr>
              <w:spacing w:after="0"/>
              <w:rPr>
                <w:sz w:val="19"/>
                <w:szCs w:val="19"/>
                <w:color w:val="auto"/>
              </w:rPr>
            </w:pPr>
          </w:p>
        </w:tc>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0" w:type="dxa"/>
            <w:vAlign w:val="bottom"/>
          </w:tcPr>
          <w:p>
            <w:pPr>
              <w:spacing w:after="0"/>
              <w:rPr>
                <w:sz w:val="1"/>
                <w:szCs w:val="1"/>
                <w:color w:val="auto"/>
              </w:rPr>
            </w:pPr>
          </w:p>
        </w:tc>
      </w:tr>
      <w:tr>
        <w:trPr>
          <w:trHeight w:val="22"/>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5322570</wp:posOffset>
            </wp:positionH>
            <wp:positionV relativeFrom="paragraph">
              <wp:posOffset>-1036955</wp:posOffset>
            </wp:positionV>
            <wp:extent cx="1814830" cy="1879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14830" cy="18796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-695325</wp:posOffset>
            </wp:positionV>
            <wp:extent cx="1814830" cy="1879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14830" cy="18796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-353695</wp:posOffset>
            </wp:positionV>
            <wp:extent cx="1814830" cy="1879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14830" cy="18796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eGFR based on central lab data using the MDRD Study Group formula.</w:t>
      </w:r>
    </w:p>
    <w:p>
      <w:pPr>
        <w:spacing w:after="0" w:line="29" w:lineRule="exact"/>
        <w:rPr>
          <w:sz w:val="20"/>
          <w:szCs w:val="20"/>
          <w:color w:val="auto"/>
        </w:rPr>
      </w:pPr>
    </w:p>
    <w:p>
      <w:pPr>
        <w:ind w:right="4680" w:firstLine="8"/>
        <w:spacing w:after="0" w:line="231" w:lineRule="auto"/>
        <w:tabs>
          <w:tab w:leader="none" w:pos="134" w:val="left"/>
        </w:tabs>
        <w:numPr>
          <w:ilvl w:val="0"/>
          <w:numId w:val="7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Responders defined as moving from eGFR &lt; 60 to eGFR ≥ 60. Units in (mL/min/1.73m</w:t>
      </w: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7"/>
          <w:szCs w:val="17"/>
          <w:i w:val="1"/>
          <w:iCs w:val="1"/>
          <w:color w:val="auto"/>
        </w:rPr>
        <w:t>). ** Patients in the placebo arm switched to TransCon PTH following the Week 26 visit.</w:t>
      </w:r>
    </w:p>
    <w:p>
      <w:pPr>
        <w:spacing w:after="0" w:line="1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June 2023, we announced one-year (Week 52) data from the open-label extension (“OLE”) portion of the Phase 3 PaTHway Trial of TransCon PTH in adults with hypoparathyroidism. PaTHway is a Phase 3 trial of TransCon PTH with a placebo-controlled 26-week blinded portion and a 156-week OLE portion, designed to evaluate the long-term efficacy and safety of TransCon PTH as a potential hormone therapy for adult patients diagnosed with hypoparathyroidism. Of the 82 study participants dosed, 79 completed blinded treatment and entered the OLE, and 78 (59 TransCon PTH/TransCon PTH, 19 placebo/TransCon PTH) completed Week 52. The data showed that treatment with TransCon PTH resulted in sustained improvements through Week 52, as well as safety and tolerability similar to that reported for the initial 26-week blinded portion of the trial. As of December 31, 2023, 75 out of 79 patients continue in the OLE and have exceeded two years of follow-up in the PaTHway Trial.</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2023, we announced that we started enrollment for a Compassionate Use Program (“CUP”) in Germany for TransCon PTH (palopegteriparatide). The CUP was approved by Germany’s Federal Institute for Drugs &amp; Medical Devices (Bundesinstitut für Arzneimittel &amp; Medizinprodukte). Through the CUP, treating physicians can request TransCon PTH (palopegteriparatide) for eligible adult patients with hypoparathyroidism whose clinical condition, in the opinion of the treating physician, requires PTH treatment with palopegteriparatide, and who cannot be adequately treated with currently approved products or participate in a palopegteriparatide clinical trial. Following the German commercial launch of YORVIPATH in January 2024, the CUP will draw to a close.</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composite endpoint, which was defined as serum calcium levels in the normal range (8.3–10.6 mg/dL) and independence from conventional therapy (active vitamin D and &gt;600 mg/day of calcium supplements). In this trial, TransCon PTH was generally well-tolerated, with no discontinuations related to study drug. As of December 31, 2023, 12 patients continue in the ongoing 3-year extension portion of the PaTHway Japan Trial.</w:t>
      </w:r>
    </w:p>
    <w:p>
      <w:pPr>
        <w:spacing w:after="0" w:line="18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In December 2022, the FDA allowed us to initiate a U.S. expanded access program (“EAP”) for TransCon PTH for eligible adult patients with hypoparathyroidism with prior PTH treatment experience. This EAP is open for enrollment, allowing U.S. physicians to request access to investigational TransCon PTH for their eligible patients.</w:t>
      </w:r>
    </w:p>
    <w:p>
      <w:pPr>
        <w:spacing w:after="0" w:line="1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September 2022, we announced new Week 110 data from the Phase 2 PaTH Forward Trial showing that long-term therapy with TransCon PTH provided a durable response in adult patients with hypoparathyroidism, as evidenced by maintenance of normal mean serum calcium levels and 93% of patients achieving independence from conventional therapy with active vitamin D and oral calcium. As of December 31, 2023, 57 out of the 59 patients continued in the OLE portion of the trial, where they receive an individualized maintenance dose of TransCon PTH. In addition, all 57 subjects have exceeded three years of follow-up in the PaTH Forward Trial. Two patients withdrew from the trial for reasons unrelated to safety or efficacy of the study drug.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8" w:name="page89"/>
    <w:bookmarkEnd w:id="88"/>
    <w:p>
      <w:pPr>
        <w:spacing w:after="0" w:line="254" w:lineRule="auto"/>
        <w:rPr>
          <w:sz w:val="20"/>
          <w:szCs w:val="20"/>
          <w:color w:val="auto"/>
        </w:rPr>
      </w:pPr>
      <w:r>
        <w:rPr>
          <w:rFonts w:ascii="Times New Roman" w:cs="Times New Roman" w:eastAsia="Times New Roman" w:hAnsi="Times New Roman"/>
          <w:sz w:val="18"/>
          <w:szCs w:val="18"/>
          <w:color w:val="auto"/>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composite endpoint compared to placebo. The primary endpoint, defined as serum calcium levels in the normal range (8.3–10.6 mg/dL) and independence from conventional therapy (active vitamin D and &gt;600 mg/day of oral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April 2020, we announced top-line data from the four-week fixed dose, double-blinded portion of PaTH Forward, a global Phase 2 trial evaluating the safety, tolerability and efficacy of TransCon PTH in adult subjects with hypoparathyroidism. A total of 59 subjects were randomized in a blinded manner to receive fixed doses of TransCon PTH at 15, 18 or 21 µg/day or placebo for four weeks using a ready-to-use prefilled pen injector planned for commercial presentation. All doses of TransCon PTH were well-tolerated, and no serious or severe treatment-related adverse events (“TEAEs”), were observed at any point. No treatment-emergent adverse events led to discontinuation of study drug, and the overall incidence of TEAEs was comparable between TransCon PTH and placebo. Additionally, there were no drop-outs during the four-week fixed dose period.</w:t>
      </w:r>
    </w:p>
    <w:p>
      <w:pPr>
        <w:spacing w:after="0" w:line="187"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In June 2018, we were granted Orphan Drug Designation (“ODD”) by the FDA, for TransCon PTH for the treatment of hypoparathyroidism. In October 2020, we were granted Orphan designation (“OD”) by the EC for TransCon PTH for the treatment of hypoparathyroidism. In July 2021, the Ministry of Health, Labour and Welfare granted ODD to TransCon PTH for the treatment of hypoparathyroidism.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Achondroplasia</w:t>
      </w:r>
    </w:p>
    <w:p>
      <w:pPr>
        <w:spacing w:after="0" w:line="11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Achondroplasia is the most common genetic form of skeletal dysplasia leading to disproportionate short stature and is associated with a well-delineated range of clinical complications and manifestations, occurring in about one in 10,000 to 30,000 newborns or approximately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Achondroplasia is primarily caused by gain-of-function variants of the FGFR3 gene resulting in constitutive activation of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 and dysfunction in the skeletal muscle. Preclinical and clinical data show that the CNP pathway helps to counteract the effects of the FGFR3 mutation downstream.</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89" w:name="page90"/>
    <w:bookmarkEnd w:id="89"/>
    <w:p>
      <w:pPr>
        <w:ind w:right="40"/>
        <w:spacing w:after="0" w:line="233" w:lineRule="auto"/>
        <w:rPr>
          <w:sz w:val="20"/>
          <w:szCs w:val="20"/>
          <w:color w:val="auto"/>
        </w:rPr>
      </w:pPr>
      <w:r>
        <w:rPr>
          <w:rFonts w:ascii="Times New Roman" w:cs="Times New Roman" w:eastAsia="Times New Roman" w:hAnsi="Times New Roman"/>
          <w:sz w:val="18"/>
          <w:szCs w:val="18"/>
          <w:color w:val="auto"/>
        </w:rPr>
        <w:t>In November 2021, BioMarin Pharmaceutical Inc.’s VOXZOGO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(vosoritide) was approved by the FDA and is indicated to increase linear growth in pediatric patients with achondroplasia with open epiphyses. Other companies that are developing therapies for achondroplasia include QED Therapeutics (a BridgeBio company), Sanofi, Ribomic, Tyra Biosciences, and ProLynx.</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Changing the Treatment Paradigm of Achondroplasia</w:t>
      </w:r>
    </w:p>
    <w:p>
      <w:pPr>
        <w:spacing w:after="0" w:line="11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5330190" cy="1887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30190"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ACH-AE: Increased incidence of Achondroplasia-related Adverse Events.</w:t>
      </w:r>
    </w:p>
    <w:p>
      <w:pPr>
        <w:spacing w:after="0" w:line="2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HRQoL: Reduced Health-Related Quality of Life; Height; Reduced height. Muscle Strength/Stamina; Reduced muscular functionality, including reduced strength and stamina.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CNP</w:t>
      </w:r>
    </w:p>
    <w:p>
      <w:pPr>
        <w:spacing w:after="0" w:line="118"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Cmax levels that may cause adverse cardiovascular events. We believe the therapeutically sustained release of TransCon CNP offers advantages that may mitigate this issue, leading to more constant CNP exposure at lower Cmax to correlate with better therapeutic outcomes.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CNP for Achondroplasia</w:t>
      </w:r>
    </w:p>
    <w:p>
      <w:pPr>
        <w:spacing w:after="0" w:line="11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Our ongoing pivotal ApproaCH Trial, ACcomplisH trial, and our long-term extension trial AttaCH, are evaluating the safety and efficacy of TransCon CNP in children (aged 2 to eleven years) with achondroplasia.</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December 2023, we announced new analyses demonstrating benefits beyond linear growth from the blinded and ongoing OLE portions of ACcomplisH, a Phase 2 randomized, double-blind, placebo-controlled, dose-escalation trial of TransCon CNP in children ages 2-10 years with achondroplasia. In the trial, all 57 patients have now completed one year of treatment with TransCon CNP at 100 µg/kg/week, the dose agreed with regulatory agencies for the active arm in our pivotal ApproaCH Trial.</w:t>
      </w:r>
    </w:p>
    <w:p>
      <w:pPr>
        <w:spacing w:after="0" w:line="18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We analyzed available data for patients who only received TransCon CNP at the 100 µg/kg/week dose in either blinded or OLE part and were treated for one year (n=19), compared to those administered placebo for one year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85" w:right="359" w:bottom="1440" w:gutter="0" w:footer="0" w:header="0"/>
        </w:sectPr>
      </w:pPr>
    </w:p>
    <w:bookmarkStart w:id="90" w:name="page91"/>
    <w:bookmarkEnd w:id="90"/>
    <w:p>
      <w:pPr>
        <w:ind w:right="440"/>
        <w:spacing w:after="0" w:line="280" w:lineRule="auto"/>
        <w:rPr>
          <w:sz w:val="20"/>
          <w:szCs w:val="20"/>
          <w:color w:val="auto"/>
        </w:rPr>
      </w:pPr>
      <w:r>
        <w:rPr>
          <w:rFonts w:ascii="Times New Roman" w:cs="Times New Roman" w:eastAsia="Times New Roman" w:hAnsi="Times New Roman"/>
          <w:sz w:val="18"/>
          <w:szCs w:val="18"/>
          <w:color w:val="auto"/>
        </w:rPr>
        <w:t>(n=15). Results showed that these TransCon CNP-treated patients (data available for 9-16 patients) showed significant improvements in health-related quality of life and disease impacts compared to those receiving placebo (data available for 5-13 patients).</w:t>
      </w:r>
    </w:p>
    <w:p>
      <w:pPr>
        <w:spacing w:after="0" w:line="163"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Assessments were performed with the SF-10 (a 10-item non-disease specific survey of a child’s functional health and well-being)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spacing w:after="0" w:line="68" w:lineRule="exact"/>
        <w:rPr>
          <w:sz w:val="20"/>
          <w:szCs w:val="20"/>
          <w:color w:val="auto"/>
        </w:rPr>
      </w:pPr>
    </w:p>
    <w:p>
      <w:pPr>
        <w:ind w:left="1020" w:hanging="504"/>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SF-10 Physical Summary (p=0.002, ages 5 years and older)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Daily Living Function (p=0.047)</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Emotional Well-being (p=0.045)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330190" cy="2254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3019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spacing w:after="0" w:line="17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During the fourth quarter of 2023, we filed a Clinical Trial Application for COACH, a Phase 2 open-label single-arm trial evaluating TransCon CNP and TransCon hGH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plans to enroll approximately 18 patients (treatment naïve, n=18; prior treatment with TransCon CNP (100 mg/kg/week) for at least 1 year, n=6).</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During the third quarter of 2023, we filed an IND amendment with the FDA to initiate reACHin, a Phase 2, multicenter, double-blind, randomized, placebo-controlled trial, designed to evaluate the safety, tolerability, and efficacy of 100 μg CNP/kg of TransCon CNP once-weekly for 52 weeks in infants with achondroplasia, aged 0 to &lt; 2 years at the time of randomization.</w:t>
      </w:r>
    </w:p>
    <w:p>
      <w:pPr>
        <w:spacing w:after="0" w:line="1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September 2023, we announced completion of enrollment in ApproaCH with a total of 84 subjects randomized. U.S. and EU regulatory agencies have endorsed ApproaCH, a global randomized, double-blind, placebo-controlled trial in children ages 2–11 years with achondroplasia, as a pivotal Phase 3 trial. The primary endpoint of the trial is annualized growth velocity at 52 weeks with additional endpoints analyzing achondroplasia-related co-morbidities and quality of life. Topline results from the ApproaCH trial are expected in the fourth quarter 2024.</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91" w:name="page92"/>
    <w:bookmarkEnd w:id="91"/>
    <w:p>
      <w:pPr>
        <w:ind w:right="700"/>
        <w:spacing w:after="0" w:line="311" w:lineRule="auto"/>
        <w:rPr>
          <w:sz w:val="20"/>
          <w:szCs w:val="20"/>
          <w:color w:val="auto"/>
        </w:rPr>
      </w:pPr>
      <w:r>
        <w:rPr>
          <w:rFonts w:ascii="Times New Roman" w:cs="Times New Roman" w:eastAsia="Times New Roman" w:hAnsi="Times New Roman"/>
          <w:sz w:val="17"/>
          <w:szCs w:val="17"/>
          <w:color w:val="auto"/>
        </w:rPr>
        <w:t>In November 2022, we announced topline results from ACcomplisH, a Phase 2 randomized, double-blind, placebo-controlled, dose-escalation trial evaluating the safety and efficacy of once-weekly TransCon CNP compared to placebo in children with achondroplasia aged two to ten years old.</w:t>
      </w:r>
    </w:p>
    <w:p>
      <w:pPr>
        <w:spacing w:after="0" w:line="13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annualized growth velocity (“AGV”) at 52 weeks (p=0.0218). All 57 randomized children completed the blinded portion of ACcomplisH and continued in the OLE portion of ACcomplisH at the 100 µg/kg/week dose. As of December 31, 2023, the first 25 patients completed the OLE portion of the ACcomplisH Trial and transitioned into the Phase 2 AttaCH Trial, a multicenter, long-term, open label extension and 24 continue treatment; 32 patients continue in OLE portion of ACcomplisH.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highlights:</w:t>
      </w:r>
    </w:p>
    <w:p>
      <w:pPr>
        <w:spacing w:after="0" w:line="116" w:lineRule="exact"/>
        <w:rPr>
          <w:sz w:val="20"/>
          <w:szCs w:val="20"/>
          <w:color w:val="auto"/>
        </w:rPr>
      </w:pPr>
    </w:p>
    <w:p>
      <w:pPr>
        <w:ind w:left="1020" w:hanging="504"/>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demonstrated a consistent dose-dependent increase in AGV across the four dose groups.</w:t>
      </w:r>
    </w:p>
    <w:p>
      <w:pPr>
        <w:spacing w:after="0" w:line="115"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improvements in AGV for TransCon CNP-treated patients were consistent across age groups &lt;5 years and &gt;5 years, with dose response established.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at 100 µg/kg/week improved change in achondroplasia-specific height SDS compared to placebo (p=0.0283).</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was generally well tolerated, with no discontinuations.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adverse events (“SAEs”) related to treatment were reported; two unrelated SAEs were reported.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Injections were generally well tolerated with low frequency of injection site reactions (“ISRs”):</w:t>
      </w:r>
    </w:p>
    <w:p>
      <w:pPr>
        <w:spacing w:after="0" w:line="11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11 mild ISRs (in 8 patients) out of &gt;2,000 injections.</w:t>
      </w:r>
    </w:p>
    <w:p>
      <w:pPr>
        <w:spacing w:after="0" w:line="115" w:lineRule="exact"/>
        <w:rPr>
          <w:rFonts w:ascii="Times New Roman" w:cs="Times New Roman" w:eastAsia="Times New Roman" w:hAnsi="Times New Roman"/>
          <w:sz w:val="18"/>
          <w:szCs w:val="18"/>
          <w:color w:val="auto"/>
        </w:rPr>
      </w:pPr>
    </w:p>
    <w:p>
      <w:pPr>
        <w:ind w:left="1020" w:right="280" w:hanging="504"/>
        <w:spacing w:after="0" w:line="280"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Investigator-assessed achondroplasia-related AEs were less frequently reported among participants receiving TransCon CNP (31%; 13/42) compared with placebo (60%; 9/15).</w:t>
      </w:r>
    </w:p>
    <w:p>
      <w:pPr>
        <w:spacing w:after="0" w:line="163"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In 2019, we initiated the ACHieve Study, a five-year, multi-center natural history study designed to gain insight into the experiences of pediatric patients with achondroplasia. ACHieve is designed to evaluate growth velocity, body proportionality, and comorbidities over time in children with achondroplasia up to eight years old. No study medication will be administered in the ACHieve Study.</w:t>
      </w:r>
    </w:p>
    <w:p>
      <w:pPr>
        <w:spacing w:after="0" w:line="17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 February 2019, we were granted ODD by the FDA for TransCon CNP for the treatment of achondroplasia. In July 2020, we received OD from the EC for TransCon CNP for the treatment of achondroplasia.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Candidates—Oncology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Oncology</w:t>
      </w:r>
    </w:p>
    <w:p>
      <w:pPr>
        <w:spacing w:after="0" w:line="11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Efficacy of many cancer treatments remains suboptimal and the incidence of cancer continues to rise.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w:t>
      </w:r>
    </w:p>
    <w:p>
      <w:pPr>
        <w:spacing w:after="0" w:line="175"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Despite recent advances, a high need for new treatment options remains for patients who do not respond or respond inadequately to current therapies. In addition to insufficient efficacy, many current treatments are limited by toxicities that result in dose reductions, treatment discontinuations, or long-term health risks to patients.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believe that one approach to improving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2" w:name="page93"/>
    <w:bookmarkEnd w:id="92"/>
    <w:p>
      <w:pPr>
        <w:ind w:right="20"/>
        <w:spacing w:after="0" w:line="259" w:lineRule="auto"/>
        <w:rPr>
          <w:sz w:val="20"/>
          <w:szCs w:val="20"/>
          <w:color w:val="auto"/>
        </w:rPr>
      </w:pPr>
      <w:r>
        <w:rPr>
          <w:rFonts w:ascii="Times New Roman" w:cs="Times New Roman" w:eastAsia="Times New Roman" w:hAnsi="Times New Roman"/>
          <w:sz w:val="18"/>
          <w:szCs w:val="18"/>
          <w:color w:val="auto"/>
        </w:rPr>
        <w:t>Another approach is to target the drug activity into tumors via intratumoral injection using our sustained localized release TransCon hydrogel technology, aiming for high activity in the tumor microenvironment while limiting systemic adverse events. While one intratumoral treatment has been approved for the local treatment of recurrent melanoma, the overall success of intratumoral treatments has been limited to date. This is likely partly due to lack of prolonged intratumoral exposure of active drug levels, and resulting in the potential need for more frequent dosing.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Technologies for Oncology</w:t>
      </w:r>
    </w:p>
    <w:p>
      <w:pPr>
        <w:spacing w:after="0" w:line="11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w:t>
      </w:r>
    </w:p>
    <w:p>
      <w:pPr>
        <w:spacing w:after="0" w:line="18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We believe TransCon technologies may have the potential to increase the efficacy of small molecules, peptides and proteins without increasing toxicity, which could offer the potential to treat more patients with new combination and multi-agent regimens that would not otherwise be feasible.</w:t>
      </w:r>
    </w:p>
    <w:p>
      <w:pPr>
        <w:spacing w:after="0" w:line="16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We are currently investigating two clinical-stage product candidates designed to activate the patient’s own immune system to eradicate malignant cells. We believe our approach, if successfully developed, has the potential to improve the efficacy of systemically administered, clinically validated therapies while limiting adverse effects.</w:t>
      </w:r>
    </w:p>
    <w:p>
      <w:pPr>
        <w:spacing w:after="0" w:line="175"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auto"/>
        </w:rPr>
        <w:t>Similarly, with the potential to achieve sustained local release at predictable levels, we believe TransCon hydrogel product candidates may allow for improved efficacy and reduced dosing frequency of intratumorally administered therapies, potentially enabling treatments of multiple tumor types, including those that cannot be easily accessed for frequent injection.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TransCon Product Candidates in Oncology</w:t>
      </w:r>
    </w:p>
    <w:p>
      <w:pPr>
        <w:spacing w:after="0" w:line="11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TransCon product candidates in oncology are designed to provide sustained systemic or intratumoral administration, which we believe could provide potent and durable anti-tumor efficacy. Our nonclinical studies have shown sustained activation of cytotoxic immune cells that resulted in robust anti-tumor responses by TransCon product candidates using infrequent administration.</w:t>
      </w:r>
    </w:p>
    <w:p>
      <w:pPr>
        <w:spacing w:after="0" w:line="175" w:lineRule="exact"/>
        <w:rPr>
          <w:sz w:val="20"/>
          <w:szCs w:val="20"/>
          <w:color w:val="auto"/>
        </w:rPr>
      </w:pPr>
    </w:p>
    <w:p>
      <w:pPr>
        <w:jc w:val="both"/>
        <w:ind w:right="40"/>
        <w:spacing w:after="0" w:line="311" w:lineRule="auto"/>
        <w:rPr>
          <w:sz w:val="20"/>
          <w:szCs w:val="20"/>
          <w:color w:val="auto"/>
        </w:rPr>
      </w:pPr>
      <w:r>
        <w:rPr>
          <w:rFonts w:ascii="Times New Roman" w:cs="Times New Roman" w:eastAsia="Times New Roman" w:hAnsi="Times New Roman"/>
          <w:sz w:val="17"/>
          <w:szCs w:val="17"/>
          <w:color w:val="auto"/>
        </w:rPr>
        <w:t>Two of our oncology product candidates, TransCon TLR7/8 Agonist and TransCon IL-2 b/g, are now in clinical development. In addition, we believe that a combination of TransCon TLR7/8 Agonist and TransCon IL-2 b/g may have the potential to produce greater anti-tumor activity than either candidate alone.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TLR7/8 Agonist for sustained localized release</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TransCon TLR7/8 Agonist is an investigational long-acting prodrug, designed for sustained intratumoral release of resiquimod, a small molecule agonist of TLR 7 and 8. 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has completed dose escalation and is enrolling patients in four indication-specific cohorts where increased TLR7/8 activity has potential to improve innate and adaptive immune activation and host defense against cancers: head and neck squamous cell carcinoma (HNSCC), HPV-associated cancers, melanoma, and cutaneous squamous cell carcinoma (cSCC). Initial data from these cohorts are expected by the end of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we announced additional follow-up from the transcendIT-101 Trial indicating further clinical activity in patients receiving TransCon TLR7/8 Agonist as monotherapy or in combination with pembrolizumab. Enrollment continues in the Phase 2 portion of transcendIT-101 at the recommended Phase 2 dose (“RP2D”).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93" w:name="page94"/>
    <w:bookmarkEnd w:id="93"/>
    <w:p>
      <w:pPr>
        <w:ind w:right="80"/>
        <w:spacing w:after="0" w:line="257" w:lineRule="auto"/>
        <w:rPr>
          <w:sz w:val="20"/>
          <w:szCs w:val="20"/>
          <w:color w:val="auto"/>
        </w:rPr>
      </w:pPr>
      <w:r>
        <w:rPr>
          <w:rFonts w:ascii="Times New Roman" w:cs="Times New Roman" w:eastAsia="Times New Roman" w:hAnsi="Times New Roman"/>
          <w:sz w:val="18"/>
          <w:szCs w:val="18"/>
          <w:color w:val="auto"/>
        </w:rPr>
        <w:t>In November 2022, we announced new data (cutoff date of September 21, 2022) from the dose-escalation portion of transcendIT-101. All 23 of the patients enrolled in the dose escalation portion of the trial had advanced or metastatic solid tumors that had progressed on prior treatments, 9 in the monotherapy cohort (intratumoral TransCon TLR7/8 Agonist alone) and 14 in the combination therapy cohort (intratumoral TransCon TLR7/8 Agonist plus the check-point inhibitor pembrolizumab). Two dose levels were evaluated: 0.3 mg/lesion and 0.5 mg/lesion. The RP2D was declared at 0.5 mg/lesion for up to two lesions, which is being evaluated in four indication specific cohorts.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IL-2 b/g for sustained systemic release</w:t>
      </w:r>
    </w:p>
    <w:p>
      <w:pPr>
        <w:spacing w:after="0" w:line="12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TransCon IL-2 b/g is an investigational long-acting prodrug designed to improve cancer immunotherapy through sustained release of an IL-2 variant that selectively activates IL-2 b/g, with minimal binding to IL-2Rα. The IL-Believe Trial, a Phase 1/2 clinical trial to evaluate the safety and efficacy of TransCon IL-2 b/g in locally advanced or metastatic solid tumors, alone or in combination with pembrolizumab or standard of care chemotherapy, has completed dose escalation and is enrolling patients in multiple indication-specific dose expansion cohorts, including platinum-resistant ovarian cancer (PROC), cervical cancer, melanoma, non-small cell lung cancer (NSCLC), and small cell lung cancer (SCLC) at the RP2D. Initial data from these cohorts are expected by the end of 2024.</w:t>
      </w:r>
    </w:p>
    <w:p>
      <w:pPr>
        <w:spacing w:after="0" w:line="18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During the fourth quarter of 2023, the first patient was dosed with the combination of TransCon IL-2 b/g and TransCon TLR7/8 Agonist in the post PD-1 melanoma dose expansion cohort in the IL-Believe Trial.</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October 2023, we announced new and updated data from the ongoing IL-Believe Trial. Forty-six patients were enrolled into dose escalation cohorts: 25 to monotherapy and 21 to combination therapy. As of the August 15, 2023 data cutoff, anti-tumor clinical responses were observed with TransCon IL-2 b/g monotherapy (colorectal cancer with confirmed partial response (“PR”)) or in combination with pembrolizumab (small cell lung cancer, one with confirmed PR and one ongoing with unconfirmed complete response) in heavily pre-treated patients who previously progressed on checkpoint inhibitors. TransCon IL-2 b/g every three weeks was generally well-tolerated, with no meaningful effect on Tregs and eosinophils.</w:t>
      </w:r>
    </w:p>
    <w:p>
      <w:pPr>
        <w:spacing w:after="0" w:line="183"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In September 2023, we announced completion of Phase 1 dose escalation in combination with pembrolizumab of the IL-Believe Trial with a total of 21 patients enrolled and RP2D determined at 120 µg/kg IV every three weeks. Twenty-one patients were enrolled.</w:t>
      </w:r>
    </w:p>
    <w:p>
      <w:pPr>
        <w:spacing w:after="0" w:line="16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 Plans</w:t>
      </w:r>
    </w:p>
    <w:p>
      <w:pPr>
        <w:spacing w:after="0" w:line="11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To further evaluate safety and anti-tumor efficacy of TransCon TLR7/8 Agonist and TransCon IL-2 b/g, we are also evaluating these product candidates as neoadjuvant therapy in the ongoing randomized Phase 2 BelieveIT-201 trial in resectable locally advanced head and neck squamous cell carcinoma.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2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also engage in strategic collaborations to further leverage our TransCon technologies in certain geographies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4" w:name="page95"/>
    <w:bookmarkEnd w:id="94"/>
    <w:p>
      <w:pPr>
        <w:ind w:right="120"/>
        <w:spacing w:after="0" w:line="279" w:lineRule="auto"/>
        <w:rPr>
          <w:sz w:val="20"/>
          <w:szCs w:val="20"/>
          <w:color w:val="auto"/>
        </w:rPr>
      </w:pPr>
      <w:r>
        <w:rPr>
          <w:rFonts w:ascii="Times New Roman" w:cs="Times New Roman" w:eastAsia="Times New Roman" w:hAnsi="Times New Roman"/>
          <w:sz w:val="17"/>
          <w:szCs w:val="17"/>
          <w:color w:val="auto"/>
        </w:rPr>
        <w:t>In November 2023, we announced that we entered into an exclusive license agreement with Teijin Limited for the further development and commercialization of TransCon hGH, TransCon PTH, and TransCon CNP for endocrinology rare disease in Japan. Under the terms of the agreement with Teijin Limited, we received an upfront payment of $70 million, with additional development and regulatory milestones of up to $175 million, transfer pricing and commercial milestones. In addition, we are eligible to receive royalties on net sales in Japan, of up to mid-20’s percent, varying by product.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VISEN Pharmaceuticals</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2018, we announced the formation of VISEN, a company established to develop and commercialize our endocrinology rare disease therapies in the People’s Republic of China, Hong Kong, Macau, and Taiwan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Following the Series B financing, we retained 43.93% of VISEN’s issued and outstanding shares.</w:t>
      </w:r>
    </w:p>
    <w:p>
      <w:pPr>
        <w:spacing w:after="0" w:line="18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November 2023, VISEN announced topline results from the Phase 2 ACcomplisH China Trial in children with achondroplasia aged 2 to 10 years. The trial met its primary objectives, demonstrating that TransCon CNP at 100 µg/kg/week was superior to placebo on the primary efficacy endpoint of AGV at 52 weeks (p=0.018).</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November 2022, VISEN announced data from its pivotal Phase 3 study of TransCon hGH in children with GHD in China. The trial achieved its primary endpoint; patients treated with TransCon hGH demonstrated greater annualized height velocity at 52-weeks (p=0.0010) compared to patients treated with daily growth hormone with comparable safety and tolerability to daily growth hormone.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2022, VISEN announced it had completed enrollment of the Phase 3 PaTHway China Trial of TransCon PTH.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China</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Agreements</w:t>
      </w:r>
    </w:p>
    <w:p>
      <w:pPr>
        <w:spacing w:after="0" w:line="11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Under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95" w:name="page96"/>
    <w:bookmarkEnd w:id="95"/>
    <w:p>
      <w:pPr>
        <w:spacing w:after="0" w:line="265" w:lineRule="auto"/>
        <w:rPr>
          <w:sz w:val="20"/>
          <w:szCs w:val="20"/>
          <w:color w:val="auto"/>
        </w:rPr>
      </w:pPr>
      <w:r>
        <w:rPr>
          <w:rFonts w:ascii="Times New Roman" w:cs="Times New Roman" w:eastAsia="Times New Roman" w:hAnsi="Times New Roman"/>
          <w:sz w:val="18"/>
          <w:szCs w:val="18"/>
          <w:color w:val="auto"/>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w:t>
      </w:r>
    </w:p>
    <w:p>
      <w:pPr>
        <w:spacing w:after="0" w:line="1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w:t>
      </w:r>
    </w:p>
    <w:p>
      <w:pPr>
        <w:spacing w:after="0" w:line="18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Shareholders Agreement</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Company’s investment in VISEN, on January 8, 2021, the Company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the Company has the right to designate two individuals for election to the board of directors of VISEN, which individuals are initially Jan Møller Mikkelsen and Michael Wolff Jensen. In addition, VISEN has agreed that certain specified events (including certain liquidation events) shall require the approval of (i) shareholders of VISEN holding at least 50% of VISEN’s Series B preferred shares, (ii) 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Eyconis</w:t>
      </w:r>
    </w:p>
    <w:p>
      <w:pPr>
        <w:spacing w:after="0" w:line="120"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January 2024, we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6" w:name="page97"/>
    <w:bookmarkEnd w:id="96"/>
    <w:p>
      <w:pPr>
        <w:ind w:right="100"/>
        <w:spacing w:after="0" w:line="259" w:lineRule="auto"/>
        <w:rPr>
          <w:sz w:val="20"/>
          <w:szCs w:val="20"/>
          <w:color w:val="auto"/>
        </w:rPr>
      </w:pPr>
      <w:r>
        <w:rPr>
          <w:rFonts w:ascii="Times New Roman" w:cs="Times New Roman" w:eastAsia="Times New Roman" w:hAnsi="Times New Roman"/>
          <w:sz w:val="18"/>
          <w:szCs w:val="18"/>
          <w:color w:val="auto"/>
        </w:rPr>
        <w:t>We have granted Eyconis exclusive rights to develop and commercialize TransCon ophthalmology products globally and received an equity position in the newly formed company. In addition, we will be eligible to receive development, regulatory, and sales milestone payments, plus single digit royalties on global net sales of commercialized products, if any. Eyconis will initially be based in Redwood City, California, and certain employees of Ascendis are expected to join the newly formed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we do not maintain the capability to manufacture finished drug products, we utilize contract manufacturers to manufacture finished drug product of our proprietary TransCon product candidates intended for clinical or commercial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would materially harm our business. In addition, we typically order raw materials and services on a purchase order basis and do not enter into long-term dedicated capacity or minimum supply arrangements. We utilize the services of contract manufacturers to manufacture drug substance required for later phases of clinical development and eventual commercialization for us under all applicable laws and regulations and are subject to long term forecasting obligations and certain minimum purchase requirements for all parts of the commercial supply chain.</w:t>
      </w:r>
    </w:p>
    <w:p>
      <w:pPr>
        <w:spacing w:after="0" w:line="18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have analytical and process development capabilities in our own facility.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w:t>
      </w:r>
    </w:p>
    <w:p>
      <w:pPr>
        <w:spacing w:after="0" w:line="1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do not have, and we do not currently plan to acquire or develop, the facilities or capabilities to manufacture bulk drug substance or filled drug product for use in human clinical trials. We rely on third-party manufacturers to produce the bulk drug substances required for our clinical trials and expect to continue to rely on third-parties to manufacture and test clinical trial drug supplies for the foreseeable future.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contract suppliers manufacture drug substance and finished drug product for our TransCon product candidates for clinical trial use in effort to comply with current good manufacturing practice (“cGMP”) and applicable local regulations. cGMP and similar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for device and device components, the Quality System Regulation (“QSR”) requirements, before any product is approved. Our third-party manufacturers may also be subject to periodic inspections of facilities by the FDA, the EU member states competent authorities, and other authorities, including reviews of procedures and operations used in the testing and manufacture of our products to assess our compliance with applicable regulations.</w:t>
      </w:r>
    </w:p>
    <w:p>
      <w:pPr>
        <w:spacing w:after="0" w:line="18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also contract with additional third-parties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NOF Manufacturing and Supply Agreement Related to TransCon hGH</w:t>
      </w:r>
    </w:p>
    <w:p>
      <w:pPr>
        <w:spacing w:after="0" w:line="120"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On December 21, 2017, we entered into a multi-year Manufacturing and Supply Agreement (the “NOF Agreement”) with NOF Corporation (“NOF”). Under the NOF Agreement, NOF has agreed to manufacture and supply the mPEG Linker (the “NOF hGH Product”) for our TransCon hGH product candidate. We have agreed to purchase certain quantities of NOF hGH Product.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97" w:name="page98"/>
    <w:bookmarkEnd w:id="97"/>
    <w:p>
      <w:pPr>
        <w:spacing w:after="0" w:line="254" w:lineRule="auto"/>
        <w:rPr>
          <w:sz w:val="20"/>
          <w:szCs w:val="20"/>
          <w:color w:val="auto"/>
        </w:rPr>
      </w:pPr>
      <w:r>
        <w:rPr>
          <w:rFonts w:ascii="Times New Roman" w:cs="Times New Roman" w:eastAsia="Times New Roman" w:hAnsi="Times New Roman"/>
          <w:sz w:val="18"/>
          <w:szCs w:val="18"/>
          <w:color w:val="auto"/>
        </w:rPr>
        <w:t>The NOF Agreement is effective as of December 21, 2017. The initial term of the NOF Agreement terminates on December 31, 2025 unless earlier terminated. After the expiration of the initial term of the NOF Agreement, the NOF Agreement continues until it is terminated. The NOF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Agreement with one year written notice, or (iv) by mutual agreement of the parties. In addition, the NOF Agreement may be terminated by us in the event of a change of 50% or more of the direct or indirect ownership of NOF or manufacturing facilities relevant to the NOF Agreement, if such ownership goes to a third-party materially involved in the treatment of growth related disorders in humans. The NOF Agreement may also be terminated by either party for a continuing event of force majeure.</w:t>
      </w:r>
    </w:p>
    <w:p>
      <w:pPr>
        <w:spacing w:after="0" w:line="18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NOF Agreement contains, among other provisions customary representations and warranties by us and NOF, grants of certain limited license rights related to either party’s intellectual property in connection with the manufacturing and supply of NOF hGH Product, certain indemnification rights in favor of both parties and customary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NOF Manufacturing and Supply Agreement Related to TransCon PTH</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August 31, 2020, we entered into a multi-year Manufacturing and Supply Agreement (the “NOF PTH Agreement”) with NOF. Under the NOF PTH Agreement, NOF has agreed to manufacture and supply the PEG maleimide (the “NOF PTH Product”) for our TransCon PTH product candidate. We have agreed to purchase certain quantities of NOF PTH Product. We may purchase NOF PTH Product from other manufacturers and are not obligated to purchase NOF PTH Product from NOF, other than certain quantities that have been forecasted by us in accordance with a mandatory rolling forecast that we must deliver to NOF from time to time.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NOF PTH Agreement is effective as of August 31, 2020. The initial term of the NOF PTH Agreement terminates on December 31, 2027 unless earlier terminated. After the expiration of the initial term of the NOF PTH Agreement, the NOF PTH Agreement continues until it is terminated. The NOF PTH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PTH Agreement with advance written notice, (iv) by NOF after the initial term of the NOF PTH Agreement with advance written notice, (v) by mutual agreement of the parties, or (vi) by us in the event of a change of fifty percent or more of the direct or indirect ownership of NOF or manufacturing facilities relevant to the NOF PTH Agreement, if such ownership goes to any of a pre-defined list of third parties. In addition, the NOF PTH Agreement may be terminated by NOF in the event of a change of fifty percent or more of the direct or indirect ownership of Ascendis, if such ownership goes to any of a pre-defined list of third parties. The NOF PTH Agreement may also be terminated by either party for a continuing event of force majeure.</w:t>
      </w:r>
    </w:p>
    <w:p>
      <w:pPr>
        <w:spacing w:after="0" w:line="18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NOF PTH Agreement contains, among other provisions, customary representations and warranties by us and NOF, grants of certain limited license rights related to either party’s intellectual property in connection with the manufacturing and supply of NOF PTH Product, certain indemnification rights in favor of both parties and customary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Carbogen Manufacturing and Supply Agreement Related to TransCon hGH</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October 26, 2018, we entered into a multi-year Manufacturing and Supply Agreement (the “Carbogen Agreement”) with Carbogen Amcis AG (“Carbogen”). Under the Carbogen Agreement, Carbogen has agreed to manufacture and supply Linker A (the “Carbogen Product”) for our TransCon hGH product candidate. We may purchase Linker A from other manufacturers and are not obligated to purchase Carbogen Product from Carbogen, other than certain quantities that have been forecasted by us in accordance with a mandatory rolling forecast that we must deliver to Carbogen from time to time.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8" w:name="page99"/>
    <w:bookmarkEnd w:id="98"/>
    <w:p>
      <w:pPr>
        <w:spacing w:after="0" w:line="253" w:lineRule="auto"/>
        <w:rPr>
          <w:sz w:val="20"/>
          <w:szCs w:val="20"/>
          <w:color w:val="auto"/>
        </w:rPr>
      </w:pPr>
      <w:r>
        <w:rPr>
          <w:rFonts w:ascii="Times New Roman" w:cs="Times New Roman" w:eastAsia="Times New Roman" w:hAnsi="Times New Roman"/>
          <w:sz w:val="18"/>
          <w:szCs w:val="18"/>
          <w:color w:val="auto"/>
        </w:rPr>
        <w:t>The Carbogen Agreement is effective as of October 26, 2018. The initial term of the Carbogen Agreement expires five years after the first commercial launch of our TransCon hGH product candidate (the “Carbogen Initial Term”) unless earlier terminated. After the expiration of the Carbogen Initial Term of the Carbogen Agreement, the Carbogen Agreement continues until it is terminated. The Carbogen Agreement may be terminated (i) by either party for the other party’s assignment of the Carbogen Agreement for the benefit of creditors, insolvency, bankruptcy, dissolution, or taking of any action under an act for relief from creditors, (ii) by either party for the other party’s uncured material breach, (iii) by us after the Carbogen Initial Term of the Carbogen Agreement with one year written notice, (iv) by Carbogen after the Carbogen Initial Term of the Carbogen Agreement with four years written notice or (v) by mutual agreement of the parties. In addition, the Carbogen Agreement may be terminated by us in the event of a change of fifty percent or more of the direct or indirect ownership of Carbogen, if such ownership goes to a third-party materially involved in the treatment of growth-related disorders in humans. The Carbogen Agreement may also be terminated by either party for a continuing event of force majeure.</w:t>
      </w:r>
    </w:p>
    <w:p>
      <w:pPr>
        <w:spacing w:after="0" w:line="18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Carbogen Agreement contains, among other provisions, certain representations and warranties by us and Carbogen, grants certain rights to intellectual property relating to, or inventions made in connection with, the manufacturing and supply of Carbogen Product, provides for certain indemnification rights in favor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Carbogen Manufacturing and Supply Agreement Related to TransCon PTH</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On May 27, 2021, we entered into a multi-year Manufacturing and Supply Agreement (the “Carbogen PTH Agreement”) with Carbogen. Under the Carbogen PTH Agreement, Carbogen has agreed to manufacture and supply Linker F (the “Carbogen PTH Product”) for our TransCon PTH product candidate. We may purchase Carbogen PTH Product from other manufacturers and are not obligated to purchase Carbogen PTH Product from Carbogen, other than certain quantities that have been forecasted by us in accordance with a mandatory rolling forecast that we must deliver to Carbogen from time to time.</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Carbogen PTH Agreement is effective as of May 27, 2021. The initial term of the Carbogen PTH Agreement expires five years after the first commercial launch of our TransCon PTH product candidate (the “Carbogen PTH Initial Term”) unless earlier terminated. After the expiration of the Carbogen PTH Initial Term of the Carbogen PTH Agreement, the Carbogen PTH Agreement continues until it is terminated. The Carbogen PTH Agreement may be terminated (i) by either party for the other party’s assignment of the Carbogen PTH Agreement for the benefit of creditors, insolvency, bankruptcy, dissolution, or taking of any action under an act for relief from creditors, (ii) by either party for the other party’s uncured material breach, (iii) by us after the Carbogen PTH Initial Term with one year written notice, (iv) by Carbogen after the Carbogen PTH Initial Term of the Carbogen PTH Agreement with four years written notice (subject to Carbogen’s obligation to actively assist in technology transfer to an alternate supplier) or (v) by mutual agreement of the parties. In addition, the Carbogen PTH Agreement may be terminated by us in the event of a change of fifty percent or more of the direct or indirect ownership of Carbogen, if such ownership goes to a third-party materially involved in the treatment of growth-related disorders in humans. The Carbogen PTH Agreement may also be terminated by either party for a continuing event of force majeure.</w:t>
      </w:r>
    </w:p>
    <w:p>
      <w:pPr>
        <w:spacing w:after="0" w:line="186"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Carbogen PTH Agreement contains, among other provisions, certain representations and warranties by us and Carbogen, grants of certain rights to intellectual property relating to, or inventions made in connection with, the manufacturing and supply of Carbogen PTH Product, certain indemnification rights in favor of both parties and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Phillips Medisize (formerly B&amp;O Medicom and Medicom Innovation Partner)</w:t>
      </w:r>
    </w:p>
    <w:p>
      <w:pPr>
        <w:spacing w:after="0" w:line="12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January 12, 2017, we entered into a multi-year Manufacturing and Supply Agreement (the “Medicom Agreement”) with Medicom Innovation Partner (“Medicom”). Under the Medicom Agreement, Medicom has agreed to exclusively manufacture and supply the auto injector injection device (the “Medicom Product”) for our TransCon hGH product candidate. We are obligated to purchase certain quantities that have been forecasted by us in accordance with a mandatory rolling forecast that we must deliver to Medicom from time to time.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9" w:name="page100"/>
    <w:bookmarkEnd w:id="99"/>
    <w:p>
      <w:pPr>
        <w:spacing w:after="0" w:line="253" w:lineRule="auto"/>
        <w:rPr>
          <w:sz w:val="20"/>
          <w:szCs w:val="20"/>
          <w:color w:val="auto"/>
        </w:rPr>
      </w:pPr>
      <w:r>
        <w:rPr>
          <w:rFonts w:ascii="Times New Roman" w:cs="Times New Roman" w:eastAsia="Times New Roman" w:hAnsi="Times New Roman"/>
          <w:sz w:val="18"/>
          <w:szCs w:val="18"/>
          <w:color w:val="auto"/>
        </w:rPr>
        <w:t>The Medicom Agreement is effective as of January 12, 2017. The term of the Medicom Agreement terminates on June 30, 2025 (“Medicom Initial Term”) unless earlier terminated or unless extended unilaterally by us, with notice of extension to be given no later than June 30, 2024, by five years until June 30, 2030 (“Extended Term”) after which date it shall continue indefinitely unless terminated. The Medicom Agreement may be terminated (i) by either party for the other party’s bankruptcy or insolvency-related events, (ii) by either party for the other party’s uncured material breach, (iii) by us by not extending the Medicom Initial Term into the Extended Term, (iv) by Medicom after the Extended Term of the Medicom Agreement with two year’s advance written notice or by us after the Extended Term of the Medicom Agreement with one year’s advance notice, or (v) by Medicom if we purchase less than an agreed volume of the Medicom Product (provided that we may avoid such termination by paying Medicom’s lost profits up to such agreed minimum volume). In addition, the Medicom Agreement may be terminated by us in the event of a change of control of Medicom, if such control goes to a third-party materially involved in the treatment of certain defined endocrinology diseases in humans. In all events of termination Medicom is obligated to support a tech transfer of manufacture of Medicom Product to an alternate supplier.</w:t>
      </w:r>
    </w:p>
    <w:p>
      <w:pPr>
        <w:spacing w:after="0" w:line="18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Medicom Agreement contains, among other provisions certain representations and warranties by us and Medicom, grants certain limited license rights related to either party’s intellectual property in connection with the manufacturing and supply of Medicom Product, provides for certain indemnification rights in favor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Vetter Pharma International GmbH</w:t>
      </w:r>
    </w:p>
    <w:p>
      <w:pPr>
        <w:spacing w:after="0" w:line="12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December 14, 2018, we entered into a multi-year Supply Agreement (the “Vetter Agreement”) with Vetter Pharma International (“Vetter”). Under the Vetter Agreement, Vetter has agreed to manufacture and fill-and-finish drug product in dual-chamber cartridges (the “Ascendis Product”) for our TransCon hGH product candidate. Vetter has agreed to supply in accordance with a long-term forecast in addition to a rolling forecast with a binding part that we must deliver to Vetter from time to time.</w:t>
      </w:r>
    </w:p>
    <w:p>
      <w:pPr>
        <w:spacing w:after="0" w:line="18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Vetter Agreement is effective as of January 1, 2019. The term of the Vetter Agreement expires on the five-year anniversary of the date of first regulatory approval of the TransCon hGH product (the “Initial Term”) after which term it shall be automatically renewed for subsequent two-year terms unless terminated. The Vetter Agreement may be terminated (i) by either party for the other party’s uncured material breach, including certain enumerated events constituting material breach such as bankruptcy or insolvency-related events, (ii) by us with two years’ notice, with effect no earlier than two years after expiry of the Initial Term or (iii) by either party if the other party is taken over by our or a Vetter competitor, as applicable.</w:t>
      </w:r>
    </w:p>
    <w:p>
      <w:pPr>
        <w:spacing w:after="0" w:line="18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Vetter Agreement contains, among other provisions, certain representations and warranties by us and Vetter, grants certain limited license rights in connection with Vetter’s manufacturing and supply, and our sale, distribution and other use, of Ascendis Product, provides for certain indemnification rights in favor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Tech Transfer and Manufacturing Agreement</w:t>
      </w:r>
    </w:p>
    <w:p>
      <w:pPr>
        <w:spacing w:after="0" w:line="1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On December 12, 2019, we entered into a multi-year commercial supply agreement (the “Lonza Agreement”) with Lonza Ltd (“Lonza”). Under the Lonza Agreement, Lonza has agreed to manufacture and supply drug substance for our TransCon hGH product candidate (the “TransCon hGH Drug Substance”). Starting in 2023, we are obligated to purchase a certain minimum annual quantity of TransCon hGH Drug Substance from Lonza. We may also purchase TransCon hGH Drug Substance from other manufacturers.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Lonza Agreement secures us a certain capacity of TransCon hGH Drug Substance per year.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0" w:name="page101"/>
    <w:bookmarkEnd w:id="100"/>
    <w:p>
      <w:pPr>
        <w:spacing w:after="0" w:line="268" w:lineRule="auto"/>
        <w:rPr>
          <w:sz w:val="20"/>
          <w:szCs w:val="20"/>
          <w:color w:val="auto"/>
        </w:rPr>
      </w:pPr>
      <w:r>
        <w:rPr>
          <w:rFonts w:ascii="Times New Roman" w:cs="Times New Roman" w:eastAsia="Times New Roman" w:hAnsi="Times New Roman"/>
          <w:sz w:val="17"/>
          <w:szCs w:val="17"/>
          <w:color w:val="auto"/>
        </w:rPr>
        <w:t>The Lonza Agreement is effective as of December 12, 2019. The initial term of the Lonza Agreement expires seven years after first approval of a drug product manufactured using the TransCon hGH Drug Substance (the “Lonza Initial Term”) unless earlier terminated. During the first five years of the Lonza Initial Term, we may decide, in our sole discretion, to extend the term of the Lonza Agreement by two years. The Lonza Agreement may be terminated (i) by either party for the other party’s bankruptcy or insolvency-related events, (ii) by either party for the other party’s uncured material breach, (iii) by either party for a continuing event of force majeure, (iv) by either party upon written notice after a specified time period in the event of our change of control, and</w:t>
      </w:r>
    </w:p>
    <w:p>
      <w:pPr>
        <w:spacing w:after="0" w:line="3" w:lineRule="exact"/>
        <w:rPr>
          <w:sz w:val="20"/>
          <w:szCs w:val="20"/>
          <w:color w:val="auto"/>
        </w:rPr>
      </w:pPr>
    </w:p>
    <w:p>
      <w:pPr>
        <w:ind w:right="400" w:firstLine="8"/>
        <w:spacing w:after="0" w:line="259" w:lineRule="auto"/>
        <w:tabs>
          <w:tab w:leader="none" w:pos="2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in the event of the occurrence of certain conditions related to the manufacturing of the TransCon hGH Drug Substance as more fully described in the Lonza Agreement.</w:t>
      </w:r>
    </w:p>
    <w:p>
      <w:pPr>
        <w:spacing w:after="0" w:line="18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The Lonza Agreement contains, among other provisions, certain warranties by us and Lonza, grants certain limited license rights related to either party’s intellectual property in connection with the manufacturing and supply of TransCon hGH Drug Substance, provides for certain indemnification rights in favor of both parties and includes confidentiality provisions.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Sharp Corporation Packaging and Supply Agreement</w:t>
      </w:r>
    </w:p>
    <w:p>
      <w:pPr>
        <w:spacing w:after="0" w:line="120"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On December 1, 2019 we entered into a multi-year packaging agreement (the “Sharp Agreement”) with Sharp Corporation (“Sharp”). Under the Sharp Agreement, Sharp will package, assemble, and label TransCon hGH for commercial use in certain territories, including the United States and the EU. We are non-exclusive to Sharp and may engage other manufacturers to package, assemble, and label TransCon hGH but we are obligated to meet certain minimum spend requirements for TransCon hGH during the first 12-month period after first shipment of TransCon hGH for commercial sale after regulatory approval thereof.</w:t>
      </w:r>
    </w:p>
    <w:p>
      <w:pPr>
        <w:spacing w:after="0" w:line="18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The Sharp Agreement is effective as of December 1, 2019. The initial term of the Sharp Agreement expires on December 31, 2025 and will be automatically extended for additional two-year periods unless earlier terminated. The Sharp Agreement may be terminated (i) by either party upon mutual consent, (ii) by either party for the other party’s uncured material breach, (iii) by either party for the other party’s bankruptcy or insolvency-related events, (iv) by either party for a continuing event of force majeure, (v) by either party after the initial term of the Sharp Agreement has been completed.</w:t>
      </w:r>
    </w:p>
    <w:p>
      <w:pPr>
        <w:spacing w:after="0" w:line="16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The Sharp Agreement contains, among other provisions, certain warranties by Sharp, provides for certain indemnification rights in favor of both parties and includes confidentiality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Bachem Manufacturing and Supply Agreement</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December 27, 2020, we entered into a multi-year Manufacturing and Supply Agreement (the “Bachem Agreement”) with Bachem AG (“Bachem”). Under the Bachem Agreement, Bachem has agreed to manufacture and supply PTH drug substance (the “Bachem Product”) for our TransCon PTH product candidate. We may purchase Bachem Product from other manufacturers and are not obligated to purchase Bachem Product from Bachem, other than certain quantities that have been forecasted by us in accordance with a mandatory rolling forecast that we must deliver to Bachem from time to time.</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Bachem Agreement is effective as of December 27, 2020. The initial term of the Bachem Agreement expires on December 31, 2027 (the “Bachem Initial Term”) unless earlier terminated. After the expiration of the Bachem Initial Term, provided that market approval is received prior to expiration of the Bachem Initial Term, the Bachem Agreement continues until it is terminated. The Bachem Agreement may be terminated (i) by either party for the other party’s assignment of the Bachem Agreement for the benefit of creditors, insolvency, bankruptcy, dissolution, or taking of any action under an act for relief from creditors, (ii) by either party for the other party’s uncured material breach, (iii) by us after the Bachem Initial Term with two years’ written notice, (iv) by Bachem after the Bachem Initial Term with four years’ written notice or (v) by mutual agreement of the parties. In addition, the Bachem Agreement may be terminated by us prior to expiration of the Bachem Initial Term if Bachem is acquired by a company marketing a competing drug to TransCon PTH. The Bachem Agreement may also be terminated by either party for a continuing event of force majeure.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1" w:name="page102"/>
    <w:bookmarkEnd w:id="101"/>
    <w:p>
      <w:pPr>
        <w:ind w:right="120"/>
        <w:spacing w:after="0" w:line="265" w:lineRule="auto"/>
        <w:rPr>
          <w:sz w:val="20"/>
          <w:szCs w:val="20"/>
          <w:color w:val="auto"/>
        </w:rPr>
      </w:pPr>
      <w:r>
        <w:rPr>
          <w:rFonts w:ascii="Times New Roman" w:cs="Times New Roman" w:eastAsia="Times New Roman" w:hAnsi="Times New Roman"/>
          <w:sz w:val="18"/>
          <w:szCs w:val="18"/>
          <w:color w:val="auto"/>
        </w:rPr>
        <w:t>The Bachem Agreement contains, among other provisions, certain representations and warranties by us and Bachem, grants of certain rights to intellectual property relating to, or inventions made in connection with, the manufacturing and supply of Bachem Product, certain indemnification rights in favor of both parties and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are aware that other companies are developing or evaluating enhanced drug delivery and sustained release technologies, which may be competitive with our TransCon technologies. In particular, we believe Extend Biosciences, Nektar Therapeutics, OPKO Health, Inc., ProLynx Inc., MBX Biosciences and Serina Therapeutics, Inc. are developing technology platforms in the areas of enhanced drug delivery and/or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We actively seek to protect the intellectual property and proprietary technology that we believe is important to our business, which includes seeking and maintaining patents covering our technology, i.e., TransCon linkers and carriers, specific lead candidate structures, broad product concepts, proprietary processes and any other inventions that are commercially and/or strategically important to the development of our business. We also rely on trade secrets that may be important to the development of our business and actively seek to protect the confidentiality of such trade secrets.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success will depend on our ability to obtain and maintain patents and other proprietary protection for commercially important technology, inventions and know-how related to our business, defend and enforce our patents, preserve the confidentiality of our trade secrets and operate without infringing valid and enforceable patents or otherwise misappropriate other intellectual property rights of third-parties. For more information, please see “Item 3 D. Key Information—Risk Factors—Risks Related to Our Intellectual Property”.</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02" w:name="page103"/>
    <w:bookmarkEnd w:id="102"/>
    <w:p>
      <w:pPr>
        <w:ind w:right="140"/>
        <w:spacing w:after="0" w:line="255" w:lineRule="auto"/>
        <w:rPr>
          <w:sz w:val="20"/>
          <w:szCs w:val="20"/>
          <w:color w:val="auto"/>
        </w:rPr>
      </w:pPr>
      <w:r>
        <w:rPr>
          <w:rFonts w:ascii="Times New Roman" w:cs="Times New Roman" w:eastAsia="Times New Roman" w:hAnsi="Times New Roman"/>
          <w:sz w:val="18"/>
          <w:szCs w:val="18"/>
          <w:color w:val="auto"/>
        </w:rPr>
        <w:t>As of December 31, 2023, we own a total of 93 patent families, of which 17 are currently in their priority year or international phase and we own several granted patents in the United States (51), Europe (31), Australia (41), Brazil (8), Canada (25), China (16), Israel (13), Indonesia (3), India (5), Korea (12), Malaysia (9), New Zealand (9), Japan (38), Mexico (14), Singapore (11), Russia (16), the United Arab Emirates (1) and South Africa (17) and have approximately 560 pending national/regional applications in a total of 26 jurisdictions (excluding the member states of the European Patent Convention in which our European patents were validated, Hong Kong, to which certain Europe and China patents are extended, and Macao, to which certain China patents are extended).</w:t>
      </w:r>
    </w:p>
    <w:p>
      <w:pPr>
        <w:spacing w:after="0" w:line="18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So far none of our granted patents have been subject to opposition proceedings, appeals or similar actions aiming at revoking or restricting the scope of a granted patent.</w:t>
      </w:r>
    </w:p>
    <w:p>
      <w:pPr>
        <w:spacing w:after="0" w:line="16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The patent portfolios for the fields containing our most advanced product candidates as of December 31, 2023, are summarized below and the expected expiration dates included in the summary below do not give effect to patent term extensions that may be available.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hGH</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Our patent portfolio related to TransCon hGH includes eight patent families relating to different aspects of TransCon hGH and an additional ten patent families covering various aspects of the auto-injector device for the administration of TransCon hGH. The first of these patent families is a composition of matter patent family directed to the particular stoichiometry of TransCon hGH and a related TransCon carrier. As of December 31, 2023, this patent family included patents granted in Europe and the United States. We expect any patents granted in this patent family to expire in October 2024, absent any patent term adjustments or extensions.</w:t>
      </w:r>
    </w:p>
    <w:p>
      <w:pPr>
        <w:spacing w:after="0" w:line="183"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a TransCon linker used in TransCon hGH. As of December 31, 2023, this patent family included patents granted in the United States, Europe, Australia, Brazil, Canada, Japan and Mexico and included a patent application in the United States. We expect any patents granted in this patent family to expire in March 2025, absent any patent term adjustments or extensions.</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third of these patent families is a composition of matter patent family directed to a broad class of TransCon hGH lead candidate structures. As of December 31, 2023, this patent family included patents granted in the United States, Europe, Australia, Brazil, Canada, China, Israel, India, Japan, Mexico, Russia and South Africa and included patent applications in Europe, the United States and Brazil. We expect any patents granted in this patent family to expire in April 2029, absent any patent term adjustments or extensions.</w:t>
      </w:r>
    </w:p>
    <w:p>
      <w:pPr>
        <w:spacing w:after="0" w:line="18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 fourth of these patent families is a composition of matter patent family directed to specific dry pharmaceutical compositions comprising TransCon hGH. As of December 31, 2023, this patent family included patents granted in the United States, Europe, Australia, Brazil, Canada, India, Israel, Mexico, Singapore and South Africa and included a patent application in the United States. We expect any patents granted in this patent family to expire in December 2030, absent any patent term adjustments or extensions.</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fifth of these patent families is a composition of matter patent family directed to a broad class of TransCon hGH lead candidate structures. As of December 31, 2023, this patent family included patents granted in the United States, Australia, Europe, Japan, South Korea, Mexico, New Zealand, Russia, Singapore and South Africa and patent applications in the United States, Europe, Australia, Brazil, Canada, Israel, Japan, South Korea, Mexico, New Zealand, Russia and Singapore. We expect any patents granted in this patent family to expire in November 2035, absent any patent term adjustments or extensions. One EP patent in this family was also used as a basis for requesting a supplementary protection certificate (“SPC”) for SKYTROFA in Austria, Belgium, Bulgaria, Cyprus, Czech Republic, Germany, Denmark, Estonia, Spain, Finland, France, Great Britain, Greece, Croatia, Hungary, Ireland, Iceland, Italy, Lithuania, Luxemburg, Latvia, Malta, The Netherlands, Norway, Poland, Portugal, Romania, Sweden, Slovenia and Slovakia. An SPC was already granted in Cyprus, the Czech Republic, Denmark, Spain, Finland, France, Greece, Hungary, Italy, Latvia, Malta, The Netherlands, Norway, Portugal, Sweden, Slovenia and Slovakia, with an expiration date of January 16, January 17 or January 18, 2037, depending on the country.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03" w:name="page104"/>
    <w:bookmarkEnd w:id="103"/>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The sixth of these patent families is directed to a particular dosage regimen for long-acting growth hormone formulations. As of December 31, 2023, this patent family included a granted patent in Europe and patent applications in the United States and in Europe. We expect any patents granted in this patent family to expire in November 2035, absent any patent term adjustments or extensions.</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seventh of these patent families is directed to potential superior efficacy achieved with TransCon hGH treatment. As of December 31, 2023, this patent family included patent applications in the United States, Europe, Australia, Canada, China, Israel, Japan, Mexico and Singapore. We expect any patents granted in this family to expire in March 2040, absent any patent term adjustments or extensions.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eighth of these patent families is directed to the use of TransCon hGH in the treatment of an inflammation-induced disease, in particular of non-alcoholic fatty liver disease and non-alcoholic steatohepatitis. As of December 31, 2023, this patent family included patent applications in the United States, Europe, Australia, Brazil, Canada, China, Indonesia, Israel, Japan, South Korea, Mexico, Malaysia, New Zealand, Russia, Singapore and South Africa. We expect any patents granted in this family to expire in March 2042, absent any patent term adjustments or extensions.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Seven of the ten patent families covering the auto-injector device with a filing date of December 29, 2016, include patent applications in the United States, Europe, Australia, Canada, Japan and New Zealand and eight granted patents in the United States, three granted patents in Europe, nine granted patents in Australia, two granted patents in Canada, one granted patent in New Zealand and eleven granted patents in Japan as of December 31, 2023. We expect any patents granted from these patent families to expire in December 2036, absent any patent term adjustments or extensions. As of December 31, 2023, the two patent families covering the auto-injector device with a filing date of May 23, 2018 and June 29, 2018, respectively, include patent applications in the United States, Europe, the United Arab Emirates, Australia, Brazil, Canada, China, Indonesia, Israel, India, Japan, South Korea, Mexico, Malaysia, New Zealand, Russia, Singapore and South Africa and one granted patent in the United States, two granted patents in Australia, two granted patents in China, two granted patents in Japan, two granted patents in South Korea, one granted patent in Malaysia, two granted patents in Russia, one granted patent in Indonesia and one granted patent in South Africa. We expect any patents granted from these patent families to expire in March and June 2038, respectively, absent any patent term adjustments or extensions. The last patent family is currently in its international phase and also has one pending patent application in Taiwan. We expect any patents granted from this patent family to expire in September 2042, absent any patent term adjustments or extensions.</w:t>
      </w:r>
    </w:p>
    <w:p>
      <w:pPr>
        <w:spacing w:after="0" w:line="182"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In addition to the SPCs, three requests for a patent term extension (“PTE”) for SKYTROFA were filed based on one granted U.S. patent from the third patent family and two granted patents from the fourth patent family, from which one will be selected for the PTE upon allowance. For three of the three requests a preliminary assessment that the patents would be eligible for extension was received from FDA.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patent portfolio related to TransCon PTH includes eleven patent families relating to different aspects of TransCon PTH. The first of these patent families is a composition of matter patent family directed to the TransCon linker used in TransCon PTH. As of December 31, 2023, this patent family included granted patents in the United States, Europe, the United Arab Emirates, Australia, Canada, China, Israel, Japan, Mexico, Russia and South Africa and included patent applications in Europe, the United States and Brazil. We expect any patents granted in this family to expire in January 2029, absent any patent term adjustments or extensions.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a broad class of TransCon PTH candidate structures. As of December 31, 2023, this patent family included patent applications in the United States, Europe, Australia, Brazil, Canada, China, Indonesia, Israel, India, Japan, South Korea, Mexico, Malaysia, New Zealand, Russia, Singapore and Thailand and granted patents in the United States, Australia, China, Israel, Japan, South Korea, Mexico, Malaysia, New Zealand, Russia, Singapore and South Africa. We expect any patents granted in this patent family to expire in February 2037, absent any patent term adjustments or extensions.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04" w:name="page105"/>
    <w:bookmarkEnd w:id="104"/>
    <w:p>
      <w:pPr>
        <w:spacing w:after="0" w:line="255" w:lineRule="auto"/>
        <w:rPr>
          <w:sz w:val="20"/>
          <w:szCs w:val="20"/>
          <w:color w:val="auto"/>
        </w:rPr>
      </w:pPr>
      <w:r>
        <w:rPr>
          <w:rFonts w:ascii="Times New Roman" w:cs="Times New Roman" w:eastAsia="Times New Roman" w:hAnsi="Times New Roman"/>
          <w:sz w:val="18"/>
          <w:szCs w:val="18"/>
          <w:color w:val="auto"/>
        </w:rPr>
        <w:t>The third and fourth of these patent families are method of treatment patent families directed to a particular dosage regimen. As of December 31, 2023, one of these patent families includes patent applications in the United States, Europe, Australia, Brazil, Canada, China, Israel, Indonesia, Japan, South Korea, Malaysia, New Zealand, Russia and Thailand and granted patents in the United States, Europe, China, Israel, Japan, Mexico, New Zealand, Russia, Singapore and South Africa. The other one of these patent families includes patent applications in the United States, Europe, Australia, Canada, China and Japan and a granted patent in Australia, China and Japan. We expect any patents granted in this patent family to expire in September 2037, absent any patent term adjustments or extensions.</w:t>
      </w:r>
    </w:p>
    <w:p>
      <w:pPr>
        <w:spacing w:after="0" w:line="187"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The fifth of these patent families is a composition of matter family directed to PTH compounds exhibiting a beneficial pharmacokinetic profile. As of December 31, 2023, this patent family includes patent applications in the United States, Europe, Australia, Brazil, Canada, China, Israel, Japan, South Korea, New Zealand, Russia and Singapore and a granted patent in the United States, Europe, China, Japan, South Korea, Mexico, New Zealand, Russia, Singapore and South Africa. We expect any patents granted in this patent family to expire in September 2037, absent any patent term adjustments or extensions.</w:t>
      </w:r>
    </w:p>
    <w:p>
      <w:pPr>
        <w:spacing w:after="0" w:line="18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The sixth patent family relates to a starting dose for treatment with reversible PTH conjugates. As of December 31, 2023, this patent family includes patent applications in the United States, Europe, Australia, Brazil, Canada, China, Indonesia, Israel, Japan, South Korea, Mexico, Malaysia, New Zealand, Russia, Singapore, Thailand and South Africa and a granted patent in Russia. We expect any patents granted from this patent family to expire in May 2039, absent any patent term adjustments or extensions.</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seventh patent family relates to a pharmaceutical composition comprising reversible PTH conjugates. As of December 31, 2023, this patent family includes patent applications in the United States, Europe, Australia, Brazil, Canada, China, Indonesia, Israel, India, Japan, South Korea, Mexico, Malaysia, New Zealand, the Philippines, Russia, Singapore, Taiwan, Thailand, Vietnam and South Africa. We expect any patents granted from this patent family to expire in February 2040, absent any patent term adjustments or extensions.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eighth and ninth patent families relate to a method of titrating hypoparathyroidism patients off of standard of care within four weeks from the beginning of daily treatment with a PTH compound and the treatment of the physical and mental well-being of hypoparathyroidism patients, respectively. As of December 31, 2023, the eighth family includes patent applications in the United States, Europe, Australia, Brazil, Canada, China, Indonesia, Israel, Japan, South Korea, Mexico, Malaysia, New Zealand, Russia, Singapore and South Africa. The ninth patent family includes patent applications in the United States, Europe, Australia, Canada, China, Israel, Japan, South Korea and Mexico. We expect any patents granted from this patent family to expire in September 2041, absent any patent term adjustments or extensions.</w:t>
      </w:r>
    </w:p>
    <w:p>
      <w:pPr>
        <w:spacing w:after="0" w:line="18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 tenth patent family relates to a reduction in bone mineral density in patients having increased bone mineral density. As of December 31, 2023, this patent family is in Patent Cooperation Treaty phase. We expect any patents granted from this patent family to expire in September 2042, absent any patent term adjustments or extensions.</w:t>
      </w:r>
    </w:p>
    <w:p>
      <w:pPr>
        <w:spacing w:after="0" w:line="175"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The eleventh patent family covers treatment of hypoparathyroidism initially with a long-acting PTH compound, followed by treatment with an ultra-long-acting PTH compound. As of December 31, 2023, this patent family is in Patent Cooperation Treaty phase. We expect any patents granted from this patent family to expire in September 2042, absent any patent term adjustments or extensions.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2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patent portfolio related to TransCon CNP includes thirteen patent families relating to different aspects of TransCon CNP. The first of these patent families is a composition of matter patent family directed to the particular stoichiometry of TransCon CNP and a related TransCon carrier. As of December 31, 2023, this patent family included patents granted in Europe and the United States and a patent application in Europe. We expect any patents granted in this patent family to expire in October 2024, absent any patent term adjustments or extensions.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5" w:name="page106"/>
    <w:bookmarkEnd w:id="105"/>
    <w:p>
      <w:pPr>
        <w:ind w:right="100"/>
        <w:spacing w:after="0" w:line="259"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the TransCon linker used in TransCon CNP. As of December 31, 2023, this patent family included granted patents in the United States, Europe, the United Arab Emirates, Australia, Canada, China, Israel, Japan, Mexico, Russia and South Africa and included patent applications in Europe, the United States and Brazil. We expect any patents granted in this family to expire in January 2029, absent any patent term adjustments or extensions.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third of these patent families is a composition of matter patent family directed to a broad class of TransCon CNP candidate structures. As of December 31, 2023, this patent family included patent applications in the United States, Europe, Australia, Canada, Israel, India, Japan, Mexico, Malaysia, New Zealand, Russia, Singapore and Thailand and a granted patent in China, South Korea, Malaysia, Russia, Singapore and South Africa. We expect any patents granted in this patent family to expire in January 2036, absent any patent term adjustments or extensions.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fourth to the ninth patent families are composition of matter patent families directed various CNP compounds having beneficial properties. As of December 31, 2023, the first one of these six patent families included patent applications in the United States, Europe, Japan, Mexico and New Zealand and granted patents in the United States, Australia, Canada, Japan and South Africa. As of December 31, 2023, the second one included patent applications in the United States, Europe, Australia and Japan and a granted patent in the United States, Europe, Australia, Canada, Japan, and South Africa. As of December 31, 2023, the third one included patent applications in the United States, Europe, Australia, Brazil, Canada, Indonesia, Israel, India, Japan, South Korea, and Singapore and a granted patent in the United States, Australia, China, Israel, Japan, Mexico, Malaysia, New Zealand and South Africa. As of December 31, 2023, the fourth one included patent applications in the United States, Europe, Australia and Israel and a granted patent in the United States, Australia, Canada and New Zealand. As of December 31, 2023, the fifth one included patent application in the United States, Europe, Australia, Brazil, China, Israel and Singapore and a granted patent in the United States, Australia, Canada, China, Israel, New Zealand and South Korea. As of December 31, 2023, the sixth one included patent applications in the United States, Europe, Australia, Canada, Israel and New Zealand and a granted patent in the United States and Australia. We expect any patents granted in these patent families to expire in January 2037, absent any patent term adjustments or extensions.</w:t>
      </w:r>
    </w:p>
    <w:p>
      <w:pPr>
        <w:spacing w:after="0" w:line="18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tenth patent family covers a combination therapy of TransCon CNP. As of December 31, 2023, this patent family includes patent applications in the United States, Europe, Australia, Brazil, Canada, Israel, South Korea, Singapore and Thailand and a granted patent in the United States, Europe, Australia, China, Indonesia, Israel, Japan, South Korea, Mexico, Malaysia, New Zealand, Russia, Singapore and South Africa. We expect any patents granted from this patent family to expire in September 2037, absent any patent term adjustments or extensions.</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eleventh patent family relates to a pharmaceutical composition comprising reversible CNP conjugates. As of December 31, 2023, this patent family includes patent applications in the United States, Europe, Australia, Brazil, Canada, China, Indonesia, Israel, India, Japan, South Korea, Mexico, Malaysia, New Zealand, the Philippines, Russia, Singapore, Taiwan, Thailand, Vietnam and South Africa and a granted patent in China. We expect any patents granted from this patent family to expire in February 2040, absent any patent term adjustments or extensions.</w:t>
      </w:r>
    </w:p>
    <w:p>
      <w:pPr>
        <w:spacing w:after="0" w:line="18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 twelfth patent family relates to a pharmacologically effective dose of TransCon CNP. As of December 31, 2023, this patent family was in Patent Cooperation Treaty phase. We expect any patents granted from this patent family to expire in December 2042, absent any patent term adjustments or extensions. One of the priorities of this family was also claimed by a further Patent Cooperation Treaty application relating to improving muscle function. We expect any patents granted from this branch of the family to expire in November 2043.</w:t>
      </w:r>
    </w:p>
    <w:p>
      <w:pPr>
        <w:spacing w:after="0" w:line="18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thirteenth patent family relates to a liquid formulation of TransCon CNP. As of December 31, 2023, this patent family is in Patent Cooperation Treaty phase. We expect any patents granted from this patent family to expire in May 2043, absent any patent term adjustment or extensions.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TLR7/8 Agonist</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of December 31, 2023, our patent portfolio related to TransCon TLR7/8 Agonist includes seven patent families. The first patent family relates to hydrogels, which are first synthesized and subsequently loaded with drug-linker conjugates. As of December 31, 2023, this patent family included granted patents in the United States and in Europe. We expect any patents granted in these patent families to expire in July 2025, absent any patent term adjustments or extensions.</w:t>
      </w:r>
    </w:p>
    <w:p>
      <w:pPr>
        <w:spacing w:after="0" w:line="1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second patent family relates to a specific class of PEG-based hydrogels. As of December 31, 2023, this patent family included granted patents in the United States, Europe, Australia, Brazil, Canada, China, Indonesia, Israel, India, Japan, South Korea, Mexico, Malaysia, New Zealand, Russia, Singapore and South Africa and patent applications in the United States, Europe and Thailand. We expect any patents granted in this patent family to expire in July 2030, absent any patent term adjustments or extensions.</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third patent family relates to a broad class of TransCon TLR7/8 Agonist candidate structures. As of December 31, 2023, this patent family included patent applications in the United States, Europe, Argentina, the United Arab Emirates, Australia, Brazil, Canada, China, Eurasia, Egypt, Indonesia, Israel, India, Japan, South Korea, Mexico, Malaysia, New Zealand, the Philippines, Singapore, Taiwan, Thailand, Vietnam and South Africa. The fourth to sixth patent families relate to TransCon TLR7/8 Agonist compounds having beneficial properties. As of December 31, 2023, the fourth patent family included patent applications in the United States, Europe, Australia, Canada, Israel and Singapore. The fifth patent included as of December 31, 2023, patent applications in the United States, Europe, Australia, Brazil, Canada, China, Israel, Japan, South Korea, Mexico, Russia, Singapore and South Africa. As of December 31, 2023, the sixth patent family included patent applications in the United States, Europe, Australia, Canada, Israel and Singapore. We expect any patents granted in all four of these patent families to expire in January 2040, absent any patent term adjustments or extensions.</w:t>
      </w:r>
    </w:p>
    <w:p>
      <w:pPr>
        <w:spacing w:after="0" w:line="185" w:lineRule="exact"/>
        <w:rPr>
          <w:sz w:val="20"/>
          <w:szCs w:val="20"/>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The seventh patent family relates to a pharmaceutical dose of TransCon TLR7/8 Agonist. As of December 31, 2023, this application was in Patent Cooperation Treaty phase. We expect any patents granted from this patent family to expire in December 2042, absent any patent term adjustments or extensions.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IL-2 b/g</w:t>
      </w:r>
    </w:p>
    <w:p>
      <w:pPr>
        <w:spacing w:after="0" w:line="1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of December 31, 2023, our patent portfolio related to TransCon IL-2 b/g includes four patent families. The first of these patent families is a composition of matter patent family directed to a TransCon linker used in TransCon IL-2 b/g. As of December 31, 2023, this patent family included patents granted in the United States, Europe, Australia, Brazil, Canada, Japan and Mexico and included a patent application in the United States. We expect any patents granted in this patent family to expire in March 2025, absent any patent term adjustments or extensions.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second and third patent family are composition of matter patent families directed to a broad class of TransCon IL-2 b/g lead candidate structures. As of December 31, 2023, the second patent family included patent applications in the United States, Europe, Australia, Brazil, Canada, China, Indonesia, Israel, India, Japan, South Korea, Mexico, Malaysia, New Zealand, Russia, Singapore, Thailand and South Africa. We expect any patents granted in this patent family to expire in March 2039. As of December 31, 2023, the third patent family included patent applications in the United States, Europe, Argentina, the United Arab Emirates, Australia, Brazil, Canada, China, Eurasia, Egypt, Indonesia, Israel, India, Japan, South Korea, Mexico, Malaysia, New Zealand, the Philippines, Singapore, Taiwan, Thailand, Vietnam and South Africa. We expect any patents granted in this patent family to expire in June 2041, absent any patent term adjustments or extensions.</w:t>
      </w:r>
    </w:p>
    <w:p>
      <w:pPr>
        <w:spacing w:after="0" w:line="18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7"/>
          <w:szCs w:val="17"/>
          <w:color w:val="auto"/>
        </w:rPr>
        <w:t>The fourth patent family relates to a pharmaceutical dose of TransCon IL-2 b/g. As of December 31, 2023, this patent family consists of three US provisional applications. We expect any patents granted in this patent family to expire in May 2044, absent any patent term adjustments or extension.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Technologies</w:t>
      </w:r>
    </w:p>
    <w:p>
      <w:pPr>
        <w:spacing w:after="0" w:line="12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Our patent portfolio also includes patents and patent applications generally relating to our TransCon technologies, including TransCon linkers, TransCon carriers and certain soluble conjugates. We own an aggregate of 16 patent families relating to TransCon linkers, the material components of which are described above. We own an aggregate of 11 patent families relating to TransCon carriers, the material components of which are described above. Finally, we own a composition of matter patent family that is directed to soluble conjugates in which one drug molecule is connected to one TransCon carrier molecule.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Regarding Patent Terms</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United States Patent and Trademark Office in granting a patent. The patent term of a European patent is 20 years from its filing date, which, unlike in the United States, is not subject to patent term adjustments.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products receive FDA approval, we expect to apply for patent term extensions on patents covering those products. We anticipate that some of our issued patents may be eligible for patent term extensions.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Medicinal products, including drugs and biologics, must be approved by the FDA through the NDA or licensed by the FDA through the BLA process, before being able to be legally marketed in the US. Our product candidates will be subject to similar requirements in other countries prior to marketing in those countries. The processes for obtaining regulatory approvals in the United States, the EU and in other foreign countries, along with subsequent compliance with appropriate federal, state, local and foreign statutes and regulations, require the expenditure of substantial time and resources.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United States, sponsors of drugs and biologics are subject to extensive regulation by the FDA, which regulates drugs under the Federal Food, Drug, and Cosmetic Act (“FDCA”) and in the case of biologics, also under the Public Health Service Act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08" w:name="page109"/>
    <w:bookmarkEnd w:id="108"/>
    <w:p>
      <w:pPr>
        <w:ind w:right="60"/>
        <w:spacing w:after="0" w:line="280" w:lineRule="auto"/>
        <w:rPr>
          <w:sz w:val="20"/>
          <w:szCs w:val="20"/>
          <w:color w:val="auto"/>
        </w:rPr>
      </w:pPr>
      <w:r>
        <w:rPr>
          <w:rFonts w:ascii="Times New Roman" w:cs="Times New Roman" w:eastAsia="Times New Roman" w:hAnsi="Times New Roman"/>
          <w:sz w:val="18"/>
          <w:szCs w:val="18"/>
          <w:color w:val="auto"/>
        </w:rPr>
        <w:t>approve pending NDAs or BLAs, withdrawal of an approval, imposition of a clinical hold on clinical studies, issuance of warning letters or other notices of violation, product recalls, product seizures, total or partial suspension of production or distribution, injunctions, fines, refusals of government contracts, restitution, disgorgement or civil or criminal penalties.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may be marketed in the United States generally involves the following:</w:t>
      </w:r>
    </w:p>
    <w:p>
      <w:pPr>
        <w:spacing w:after="0" w:line="116" w:lineRule="exact"/>
        <w:rPr>
          <w:sz w:val="20"/>
          <w:szCs w:val="20"/>
          <w:color w:val="auto"/>
        </w:rPr>
      </w:pPr>
    </w:p>
    <w:p>
      <w:pPr>
        <w:ind w:left="1020" w:right="300" w:hanging="504"/>
        <w:spacing w:after="0" w:line="280"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 where applicable;</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at each clinical site before each trial may be initiated;</w:t>
      </w:r>
    </w:p>
    <w:p>
      <w:pPr>
        <w:spacing w:after="0" w:line="115" w:lineRule="exact"/>
        <w:rPr>
          <w:rFonts w:ascii="Times New Roman" w:cs="Times New Roman" w:eastAsia="Times New Roman" w:hAnsi="Times New Roman"/>
          <w:sz w:val="18"/>
          <w:szCs w:val="18"/>
          <w:color w:val="auto"/>
        </w:rPr>
      </w:pPr>
    </w:p>
    <w:p>
      <w:pPr>
        <w:ind w:left="1020" w:right="600" w:hanging="504"/>
        <w:spacing w:after="0" w:line="280"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requirements to establish the safety and efficacy of the proposed drug or biological product for each indication;</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after completion of all pivotal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5"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or biologic’s identity, strength, quality and purity and of selected clinical investigation sites to assess compliance with GCP; and</w:t>
      </w:r>
    </w:p>
    <w:p>
      <w:pPr>
        <w:spacing w:after="0" w:line="67" w:lineRule="exact"/>
        <w:rPr>
          <w:rFonts w:ascii="Times New Roman" w:cs="Times New Roman" w:eastAsia="Times New Roman" w:hAnsi="Times New Roman"/>
          <w:sz w:val="18"/>
          <w:szCs w:val="18"/>
          <w:color w:val="auto"/>
        </w:rPr>
      </w:pPr>
    </w:p>
    <w:p>
      <w:pPr>
        <w:ind w:left="1020" w:right="100" w:hanging="504"/>
        <w:spacing w:after="0" w:line="280"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Investigational New Drug Applications</w:t>
      </w:r>
    </w:p>
    <w:p>
      <w:pPr>
        <w:spacing w:after="0" w:line="1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Nonclinical studies include laboratory evaluations of product chemistry, toxicity and formulations, as well as animal studies to assess safety and efficacy. An IND is a request for authorization from the FDA to administer an investigational pharmaceutical product to humans. A sponsor must submit the results of the nonclinical tests, together with chemistry, manufacturing &amp; control information, and any available clinical data or literature, to the FDA as part of an IND. Some nonclinical testing may continue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sponsor must resolve any outstanding concerns before the clinical trial can begin. As a result, submission of an IND may not result in the FDA allowing clinical trials to commence. The FDA may impose clinical holds on a product candidate at any time before or during clinical trials due to safety concerns or non-compliance. If the FDA imposes a clinical hold, trials may not recommence without FDA authorization and then only under terms authorized by the FDA.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(such as the required subject examinations, processes for tracking adverse events and required laboratory investigations),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In addition, written safety reports regarding serious and unexpected suspected adverse events, findings from other studies suggesting a</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109" w:name="page110"/>
    <w:bookmarkEnd w:id="109"/>
    <w:p>
      <w:pPr>
        <w:ind w:right="180"/>
        <w:spacing w:after="0" w:line="265" w:lineRule="auto"/>
        <w:rPr>
          <w:sz w:val="20"/>
          <w:szCs w:val="20"/>
          <w:color w:val="auto"/>
        </w:rPr>
      </w:pPr>
      <w:r>
        <w:rPr>
          <w:rFonts w:ascii="Times New Roman" w:cs="Times New Roman" w:eastAsia="Times New Roman" w:hAnsi="Times New Roman"/>
          <w:sz w:val="18"/>
          <w:szCs w:val="18"/>
          <w:color w:val="auto"/>
        </w:rPr>
        <w:t>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 must be submitted to the FDA.</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Furthermore, an IRB at each institution participating in the clinical trial must review and approve the plan for any clinical trial before it commences at that institution.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Information about certain clinical trials must be submitted within specific timeframes to the NIH, for public dissemination on their www.clinicaltrials.gov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or four sequential phases, which may overlap or be combined:</w:t>
      </w:r>
    </w:p>
    <w:p>
      <w:pPr>
        <w:spacing w:after="0" w:line="116" w:lineRule="exact"/>
        <w:rPr>
          <w:sz w:val="20"/>
          <w:szCs w:val="20"/>
          <w:color w:val="auto"/>
        </w:rPr>
      </w:pPr>
    </w:p>
    <w:p>
      <w:pPr>
        <w:ind w:left="1020" w:right="180" w:hanging="504"/>
        <w:spacing w:after="0" w:line="311" w:lineRule="auto"/>
        <w:tabs>
          <w:tab w:leader="none" w:pos="10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product candidate is initially introduced into healthy human subjects or patients with the target disease or condition and tested for safety, optimal dosage, absorption, metabolism, distribution, excretion and, if possible, to gain an early indication of its effectiveness.</w:t>
      </w:r>
    </w:p>
    <w:p>
      <w:pPr>
        <w:spacing w:after="0" w:line="31" w:lineRule="exact"/>
        <w:rPr>
          <w:rFonts w:ascii="Times New Roman" w:cs="Times New Roman" w:eastAsia="Times New Roman" w:hAnsi="Times New Roman"/>
          <w:sz w:val="17"/>
          <w:szCs w:val="17"/>
          <w:color w:val="auto"/>
        </w:rPr>
      </w:pPr>
    </w:p>
    <w:p>
      <w:pPr>
        <w:ind w:left="1020" w:right="66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to identify possible adverse effects and safety risks, to preliminarily evaluate the efficacy of the product for specific diseases and to determine optimal dosage.</w:t>
      </w:r>
    </w:p>
    <w:p>
      <w:pPr>
        <w:spacing w:after="0" w:line="55" w:lineRule="exact"/>
        <w:rPr>
          <w:rFonts w:ascii="Times New Roman" w:cs="Times New Roman" w:eastAsia="Times New Roman" w:hAnsi="Times New Roman"/>
          <w:sz w:val="18"/>
          <w:szCs w:val="18"/>
          <w:color w:val="auto"/>
        </w:rPr>
      </w:pPr>
    </w:p>
    <w:p>
      <w:pPr>
        <w:ind w:left="1020" w:right="240" w:hanging="504"/>
        <w:spacing w:after="0" w:line="265"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typically in well-controlled trials, to generate enough data to statistically evaluate the efficacy and safety of the product for approval, to establish the overall risk-benefit profile of the product, and to provide adequate information for the labeling of the product.</w:t>
      </w:r>
    </w:p>
    <w:p>
      <w:pPr>
        <w:spacing w:after="0" w:line="17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 or BLA.</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During the development of a new product candidate,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FDA to provide advice, and for the sponsor and the FDA to reach consensus on the next phase of development. Sponsors typically use the meetings at the end of the Phase 2 trial to discuss Phase 2 clinical results and present plans for the pivotal Phase 3 clinical trial that they believe will support approval of the new product candidate.</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71"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 in the U.S.</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 application user fee. Under the Prescription Drug User Fee Act guidelines that are currently in effect, the FDA has a goal of ten months from the date of “filing” of a standard NDA for a new molecular entity or original BLA to review and act on the submission. This review typically takes twelve months from the date the NDA or BLA is submitted to the FDA because the FDA has sixty days from receipt to decide whether an application is accepted for filing, as described below.</w:t>
      </w:r>
    </w:p>
    <w:p>
      <w:pPr>
        <w:spacing w:after="0" w:line="18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(which are analogous to the NDA safety and effectiveness requirements) and the facility in which it is manufactured, processed, packed or held meets standards designed to assure the product’s continued safety, purity and potency.</w:t>
      </w:r>
    </w:p>
    <w:p>
      <w:pPr>
        <w:spacing w:after="0" w:line="18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to an advisory committee. An advisory committee is a panel of independent experts, including clinicians and other scientific experts as well as consumer representatives,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8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usually describes the specific deficiencies in the NDA or BLA identified by the FDA and may require additional clinical data, such as an additional clinical trial or other significant and time-consuming requirements. If a Complete Response Letter is issued, the sponsor must resubmit the NDA or BLA,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1" w:name="page112"/>
    <w:bookmarkEnd w:id="111"/>
    <w:p>
      <w:pPr>
        <w:ind w:right="100"/>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1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United States</w:t>
      </w:r>
    </w:p>
    <w:p>
      <w:pPr>
        <w:spacing w:after="0" w:line="1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component generally would be reviewed and approved pursuant to the drug approval processes set forth in the FDCA or PHSA. In reviewing the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QSR applicable to medical devices.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0"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or BLA is submitted, the product candidate may be eligible for priority review. An NDA or BLA for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and determines that the schedule is acceptable, and the sponsor pays any required user fees upon submission of the first section of the NDA or BLA.</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 NDA or BLA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or intermediate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studies be well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many types of changes to the approved product, such as adding new indications, manufacturing changes or other labeling claims are subject to prior FDA review and approval.</w:t>
      </w:r>
    </w:p>
    <w:p>
      <w:pPr>
        <w:spacing w:after="0" w:line="1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There also are continuing, annual program fee requirements for certain approved prescription drug or biologic products. 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in accordance with the statute and regulations if compliance with regulatory requirements and standards is not maintained or if problems occur after the product reaches the market.</w:t>
      </w:r>
    </w:p>
    <w:p>
      <w:pPr>
        <w:spacing w:after="0" w:line="163" w:lineRule="exact"/>
        <w:rPr>
          <w:sz w:val="20"/>
          <w:szCs w:val="20"/>
          <w:color w:val="auto"/>
        </w:rPr>
      </w:pPr>
    </w:p>
    <w:p>
      <w:pPr>
        <w:jc w:val="both"/>
        <w:ind w:right="280"/>
        <w:spacing w:after="0" w:line="287" w:lineRule="auto"/>
        <w:rPr>
          <w:sz w:val="20"/>
          <w:szCs w:val="20"/>
          <w:color w:val="auto"/>
        </w:rPr>
      </w:pPr>
      <w:r>
        <w:rPr>
          <w:rFonts w:ascii="Times New Roman" w:cs="Times New Roman" w:eastAsia="Times New Roman" w:hAnsi="Times New Roman"/>
          <w:sz w:val="17"/>
          <w:szCs w:val="17"/>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potential consequences include, among other things:</w:t>
      </w:r>
    </w:p>
    <w:p>
      <w:pPr>
        <w:spacing w:after="0" w:line="116" w:lineRule="exact"/>
        <w:rPr>
          <w:sz w:val="20"/>
          <w:szCs w:val="20"/>
          <w:color w:val="auto"/>
        </w:rPr>
      </w:pPr>
    </w:p>
    <w:p>
      <w:pPr>
        <w:ind w:left="1020" w:hanging="504"/>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5" w:lineRule="exact"/>
        <w:rPr>
          <w:rFonts w:ascii="Times New Roman" w:cs="Times New Roman" w:eastAsia="Times New Roman" w:hAnsi="Times New Roman"/>
          <w:sz w:val="18"/>
          <w:szCs w:val="18"/>
          <w:color w:val="auto"/>
        </w:rPr>
      </w:pPr>
    </w:p>
    <w:p>
      <w:pPr>
        <w:ind w:left="1020" w:right="200" w:hanging="504"/>
        <w:spacing w:after="0" w:line="280"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BLAs or supplements to approved NDAs or BLAs, or suspension or revocation of product license approvals;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A company can make only those claims relating to safety and efficacy, purity and potency that are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judgement,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ODD must be requested before submitting an NDA or BLA. After the FDA grants orphan drug designation, the identity of the therapeutic agent and its potential orphan use are disclosed publicly by the FDA. ODD does not convey any advantage in, or shorten the duration of, the regulatory review and approval process. However, ODD does entitle a party to financial incentives such as opportunities for grant funding towards clinical trial costs, tax advantages and user fee waivers.</w:t>
      </w:r>
    </w:p>
    <w:p>
      <w:pPr>
        <w:spacing w:after="0" w:line="1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disease or condition for seven years from the date of such approval,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product for the same disease or condition or the same product for a different disease or condition.</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To date, relatively few biosimilars have been licensed under the BPCIA, although numerous biosimilars have been approved in Europe.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Drug Product Exclusivity</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Pediatric exclusivity is a type of non-patent exclusivity in the United States and, if granted, provides for the attachment of an additional six months of marketing protection to the term of any existing regulatory exclusivity, including the five-year and three-year non-patent and orphan exclusivities. This six-month exclusivity may be granted if an NDA or BLA sponsor submits pediatric data that fairly respond to a written request from the FDA for such data. The data does not need to show the product to be effective in the pediatric population studied; rather, if the FDA has requested the study and the clinical study is deemed to fairly respond to the FDA’s request, the additional protection may be granted. If reports of FDA-requested pediatric studies are submitted to and accepted by the FDA within the statutory time limits, whatever statutory or regulatory periods of exclusivity or patent protection cover the product are extended by six months for purposes of the FDA approval process. This is not a patent term extension, but it effectively extends existing periods of regulatory exclusivity.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To market any product outside of the United States, sponsors need to comply with numerous and different regulatory requirements of other countries regarding safety and efficacy and governing, among other things, clinical trials, marketing authorization, commercial sales and distribution of our products. Foreign regulatory approval processes include all of the risks associated with FDA approval set forth above, as well as additional country and region-specific regulation.</w:t>
      </w:r>
    </w:p>
    <w:p>
      <w:pPr>
        <w:spacing w:after="0" w:line="183"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Whether or not applicants obtain FDA approval for a product, companies must obtain approval of a product by the comparable regulatory authorities of foreign countries before commencing clinical trials or marketing of the product in those countries. Approval by one regulatory authority does not ensure approval by regulatory authorities in other jurisdictions. The approval process varies from country to country, can involve additional testing or studies beyond that required by FDA, and may be longer or shorter than the FDA process. The requirements governing the conduct of clinical trials, product licensing, pricing, promotion, and reimbursement vary greatly from country to country.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w:t>
      </w:r>
    </w:p>
    <w:p>
      <w:pPr>
        <w:spacing w:after="0" w:line="120" w:lineRule="exact"/>
        <w:rPr>
          <w:sz w:val="20"/>
          <w:szCs w:val="20"/>
          <w:color w:val="auto"/>
        </w:rPr>
      </w:pPr>
    </w:p>
    <w:p>
      <w:pPr>
        <w:ind w:left="5500" w:right="1240" w:hanging="5484"/>
        <w:spacing w:after="0" w:line="280" w:lineRule="auto"/>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6" w:name="page117"/>
    <w:bookmarkEnd w:id="116"/>
    <w:p>
      <w:pPr>
        <w:spacing w:after="0" w:line="255"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studies (pharmaco-toxicological)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(“EU CTR”), repeals the EU Clinical Trials Directive, and was adopted in April 2014 and became applicable on January 31, 2022. Unlike a Directive, the EU CTR is directly applicable in all EU member states without the need for member states to further implement it into national law. The EU CTR notably harmonizes the assessment and supervision processes for clinical trials throughout the EU via the Clinical Trials Information System, which is a centralized EU portal and database.</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While the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EU CTR introduced a centralized process and only requires the submission of a single application for multi-center trials. The EU CTR allows sponsors to make a single submission to both the competent authority and an ethics committee in each member state, leading to a single decision per member state. The CTA must include, among other things,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One of the main aims of EU CTR is to increase transparency about clinical trials, which is done by making documents and data from the CTA publicly available through the Clinical Trials Information System at the time of decision about the clinical trial. There are few exceptions to this, and release of personal data and company confidential information is controlled through redaction. The EU CTR foresees a three-year transition period. The extent to which ongoing and new clinical trials will be governed by the EU CTR depends on the date of submission of the initial application, and whether the trial completes after the end of the transition period (January 31, 2025).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EU CTR.</w:t>
      </w:r>
    </w:p>
    <w:p>
      <w:pPr>
        <w:spacing w:after="0" w:line="196" w:lineRule="exact"/>
        <w:rPr>
          <w:sz w:val="20"/>
          <w:szCs w:val="20"/>
          <w:color w:val="auto"/>
        </w:rPr>
      </w:pPr>
    </w:p>
    <w:p>
      <w:pPr>
        <w:jc w:val="center"/>
        <w:ind w:right="440"/>
        <w:spacing w:after="0" w:line="280"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GMP. Other national and EU-wide regulatory requirements may also apply.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12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75" w:lineRule="exact"/>
        <w:rPr>
          <w:sz w:val="20"/>
          <w:szCs w:val="20"/>
          <w:color w:val="auto"/>
        </w:rPr>
      </w:pPr>
    </w:p>
    <w:p>
      <w:pPr>
        <w:ind w:left="1020" w:right="60" w:hanging="504"/>
        <w:spacing w:after="0" w:line="253"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EC through the centralized procedure based on the opinion of the Committee for Medicinal Products for Human Use of the EMA, and are valid throughout the EU. The centralized procedure is compulsory for certain types of medicinal products such as (i) medicinal products derived from biotechnological processes, (ii) designated orphan medicinal products, (iii) advanced therapy medicinal products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authorized in the EU before May 20, 2004, or that represent a significant therapeutic, scientific or technical innovation, or whose authorization would be in the interest of public health in the EU. Under the centralized procedure the maximum timeframe for the evaluation of an MAA by the EMA is 210 days, excluding clock stops.</w:t>
      </w:r>
    </w:p>
    <w:p>
      <w:pPr>
        <w:spacing w:after="0" w:line="81" w:lineRule="exact"/>
        <w:rPr>
          <w:rFonts w:ascii="Times New Roman" w:cs="Times New Roman" w:eastAsia="Times New Roman" w:hAnsi="Times New Roman"/>
          <w:sz w:val="18"/>
          <w:szCs w:val="18"/>
          <w:color w:val="auto"/>
        </w:rPr>
      </w:pPr>
    </w:p>
    <w:p>
      <w:pPr>
        <w:ind w:left="1020" w:right="200" w:hanging="504"/>
        <w:spacing w:after="0" w:line="280"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albeit with some key differences in definition.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OD must be requested before submitting an MAA. An EU orphan designation entitles a sponsor to incentives such as reduction of fees or fee waivers, protocol assistance, and access to the centralized procedure. Upon grant of a MA, orphan medicinal products are entitled to a ten years of market exclusivity for the approved indication, which means that the competent authorities cannot accept another MAA, or grant a MA, or accept an application to extend a MA for a similar medicinal product for the similar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OD does not convey any advantage in, or shorten the duration of, the regulatory review and approval process.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received OD, including where it is shown that the product is sufficiently profitable not to justify maintenance of market exclusivity or where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prevalence of the condition has increased above the threshold. Additionally, MA may be granted to a similar product for the same indication at any time if</w:t>
      </w:r>
    </w:p>
    <w:p>
      <w:pPr>
        <w:spacing w:after="0" w:line="8" w:lineRule="exact"/>
        <w:rPr>
          <w:sz w:val="20"/>
          <w:szCs w:val="20"/>
          <w:color w:val="auto"/>
        </w:rPr>
      </w:pPr>
    </w:p>
    <w:p>
      <w:pPr>
        <w:ind w:right="20" w:firstLine="8"/>
        <w:spacing w:after="0" w:line="259" w:lineRule="auto"/>
        <w:tabs>
          <w:tab w:leader="none" w:pos="2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studies conducted in the pediatric population, in compliance with a PIP agreed with the EMA’s Paediatric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All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prohibited in the EU. Although general requirements for advertising and promotion of medicinal products are established under EU directives, the details are governed by regulations in each member state and differ from one country to another.</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119" w:name="page120"/>
    <w:bookmarkEnd w:id="119"/>
    <w:p>
      <w:pPr>
        <w:ind w:right="80"/>
        <w:spacing w:after="0" w:line="255"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has been the UK’s standalone medicines and medical devices regulator. As a result of the Northern Ireland protocol, different rules apply in Northern Ireland than in England, Wales, and Scotland, together, Great Britain (“GB”); broadly, Northern Ireland continues to follow the EU regulatory regime, but its national competent authority remains the MHRA.</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In order to use the centralized procedure to obtain a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The MHRA may rely on a decision taken by the EC on the approval of a new (centralized procedure) MA when determining an application for a GB authorization (the so-called “EC Decision Reliance Procedure” (“ECDRP”)); or use the MHRA’s decentralized or mutual recognition reliance procedures (“MRDCRP”) which enable MAs approved in EU member states (or Iceland, Liechtenstein, Norway) to be granted in GB.</w:t>
      </w:r>
    </w:p>
    <w:p>
      <w:pPr>
        <w:spacing w:after="0" w:line="18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From January 1, 2024, the ECDRP has been replaced by the new International Recognition procedure (“IRP”) which will allow the MHRA to conduct targeted assessments by recognizing approvals from trusted partner agencies such as the European Commission. The MRDCRP is incorporated under the umbrella of the IRP. Additionally, the ‘Unfettered Access Procedure’ enables an MA holder in Northern Ireland to seek recognition in Great Britain. 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EU</w:t>
      </w:r>
    </w:p>
    <w:p>
      <w:pPr>
        <w:spacing w:after="0" w:line="120" w:lineRule="exact"/>
        <w:rPr>
          <w:sz w:val="20"/>
          <w:szCs w:val="20"/>
          <w:color w:val="auto"/>
        </w:rPr>
      </w:pPr>
    </w:p>
    <w:p>
      <w:pPr>
        <w:jc w:val="both"/>
        <w:ind w:right="220"/>
        <w:spacing w:after="0" w:line="311" w:lineRule="auto"/>
        <w:rPr>
          <w:sz w:val="20"/>
          <w:szCs w:val="20"/>
          <w:color w:val="auto"/>
        </w:rPr>
      </w:pPr>
      <w:r>
        <w:rPr>
          <w:rFonts w:ascii="Times New Roman" w:cs="Times New Roman" w:eastAsia="Times New Roman" w:hAnsi="Times New Roman"/>
          <w:sz w:val="17"/>
          <w:szCs w:val="17"/>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spacing w:after="0" w:line="13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Medical Devices Regulation (including the general safety and performance requirements provided in Annex I). MAA must include—where available—the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0" w:name="page121"/>
    <w:bookmarkEnd w:id="120"/>
    <w:p>
      <w:pPr>
        <w:jc w:val="both"/>
        <w:ind w:right="180"/>
        <w:spacing w:after="0" w:line="287" w:lineRule="auto"/>
        <w:rPr>
          <w:sz w:val="20"/>
          <w:szCs w:val="20"/>
          <w:color w:val="auto"/>
        </w:rPr>
      </w:pPr>
      <w:r>
        <w:rPr>
          <w:rFonts w:ascii="Times New Roman" w:cs="Times New Roman" w:eastAsia="Times New Roman" w:hAnsi="Times New Roman"/>
          <w:sz w:val="17"/>
          <w:szCs w:val="17"/>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16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w:t>
      </w:r>
    </w:p>
    <w:p>
      <w:pPr>
        <w:spacing w:after="0" w:line="18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requirements regarding quality documentation for medicinal products when used with a medical device, including single integral products, co-packaged and referenced products, are outlined in the EMA guideline of July 22, 2021, which became applicable as of January 1,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0"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other U.S. federal, state and foreign healthcare regulatory laws restrict business practices in the biopharmaceutical industry, which include, but are not limited to, state, federal and foreign anti-kickback, false claims, and transparency laws regarding drug pricing and payments or other items of value provided to physicians and other healthcare providers.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strict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in light of the prohibitions in the statute.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to have committed a violation.</w:t>
      </w:r>
    </w:p>
    <w:p>
      <w:pPr>
        <w:spacing w:after="0" w:line="188"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7"/>
          <w:szCs w:val="17"/>
          <w:color w:val="auto"/>
        </w:rPr>
        <w:t>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w:t>
      </w:r>
    </w:p>
    <w:p>
      <w:pPr>
        <w:spacing w:after="0" w:line="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Moreover, a claim including items or services resulting from a violation of the federal Anti-Kickback Statute constitutes a false or fraudulent claim for purposes of the federal civil False Claims Act.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1" w:name="page122"/>
    <w:bookmarkEnd w:id="121"/>
    <w:p>
      <w:pPr>
        <w:ind w:right="80"/>
        <w:spacing w:after="0" w:line="280" w:lineRule="auto"/>
        <w:rPr>
          <w:sz w:val="20"/>
          <w:szCs w:val="20"/>
          <w:color w:val="auto"/>
        </w:rPr>
      </w:pPr>
      <w:r>
        <w:rPr>
          <w:rFonts w:ascii="Times New Roman" w:cs="Times New Roman" w:eastAsia="Times New Roman" w:hAnsi="Times New Roman"/>
          <w:sz w:val="18"/>
          <w:szCs w:val="18"/>
          <w:color w:val="auto"/>
        </w:rPr>
        <w:t>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6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HIPAA, created new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As with the Anti-Kickback Statute, a person or entity does not need to have actual knowledge of the statute or specific intent to violate it to have committed a violation.</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other healthcare providers. The Physician Payments Sunshine Act imposed, among other things, annual reporting requirements for covered manufacturers for certain payments and “transfers of value” provided to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Covered manufacturers must submit reports by the 90th day of each subsequent calendar year.</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majority of states also have anti-kickback and other fraud and abuse laws, which establish similar prohibitions and in some cases may apply to items or services reimbursed by any third-party payor, including commercial insurers. Certain states also require implementation of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w:t>
      </w:r>
    </w:p>
    <w:p>
      <w:pPr>
        <w:spacing w:after="0" w:line="189"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7"/>
          <w:szCs w:val="17"/>
          <w:color w:val="auto"/>
        </w:rPr>
        <w:t>Violation of any of such laws or any other governmental regulations that apply to drug manufacturers may result in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imprisonment.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SKYTROFA or any other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2" w:name="page123"/>
    <w:bookmarkEnd w:id="122"/>
    <w:p>
      <w:pPr>
        <w:ind w:right="20"/>
        <w:spacing w:after="0" w:line="253" w:lineRule="auto"/>
        <w:rPr>
          <w:sz w:val="20"/>
          <w:szCs w:val="20"/>
          <w:color w:val="auto"/>
        </w:rPr>
      </w:pPr>
      <w:r>
        <w:rPr>
          <w:rFonts w:ascii="Times New Roman" w:cs="Times New Roman" w:eastAsia="Times New Roman" w:hAnsi="Times New Roman"/>
          <w:sz w:val="18"/>
          <w:szCs w:val="18"/>
          <w:color w:val="auto"/>
        </w:rPr>
        <w:t>Third-party payors may limit coverage to specific drug products on an approved list, also known as a formulary, which might not include all of the FDA-approved drugs for a particular indication. A decision by a third-party payor not to cover SKYTROFA or our other product candidates could reduce physician utilization of our products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that they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 In addition, in many foreign countries, the proposed pricing for a drug must be approved before it may be lawfully marketed. The requirements governing drug pricing and reimbursement vary widely from country to country. 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lower priced markets exert a commercial pressure on pricing within a country.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and related legislation were enacted, which, among other things, (i) increased the minimum Medicaid rebates owed by most manufacturers under the Medicaid Drug Rebate Program, (ii) addressed a new methodology by which rebates owed by manufacturers under the Medicaid Drug Rebate Program are calculated for drugs that are inhaled, infused, instilled, implanted or injected, (iii) extended the Medicaid Drug Rebate Program to utilization of prescriptions of individuals enrolled in Medicaid managed care plans, (iv) imposed mandatory discounts for certain Medicare Part D beneficiaries, and (v) subjected drug manufacturers to new annual fees based on pharmaceutical companies’ share of sales to federal healthcare programs.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3" w:name="page124"/>
    <w:bookmarkEnd w:id="123"/>
    <w:p>
      <w:pPr>
        <w:ind w:right="140"/>
        <w:spacing w:after="0" w:line="272" w:lineRule="auto"/>
        <w:rPr>
          <w:sz w:val="20"/>
          <w:szCs w:val="20"/>
          <w:color w:val="auto"/>
        </w:rPr>
      </w:pPr>
      <w:r>
        <w:rPr>
          <w:rFonts w:ascii="Times New Roman" w:cs="Times New Roman" w:eastAsia="Times New Roman" w:hAnsi="Times New Roman"/>
          <w:sz w:val="17"/>
          <w:szCs w:val="17"/>
          <w:color w:val="auto"/>
        </w:rPr>
        <w:t>Since its enactment, there have been judicial, executive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 the Budget Control Act of 2011, which resulted in reductions in Medicare payments to providers, which went into effect on April 1, 2013 and will stay in effect through 2032, with the exception of a temporary suspension from May 1, 2020 through March 31, 2022, unless additional Congressional action is taken. On January 2, 2013, the American Taxpayer Relief Act was signed into law, which, among other things, reduced certain Medicare payments to several types of providers, including hospitals. The legislation also increased the statute of limitations period for the government to recover overpayments to providers from three to five years. In addition, the American Rescue Plan Act of 2021 was signed into law, which eliminated the statutory Medicaid drug rebate cap, beginning January 1, 2024. The rebate was previously capped at 100% of a drug’s average manufacturer price.</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Further,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Individual states in the United States have also become increasingly active in passing legislation and implementing regulations designed to control pharmaceutical product pricing, including through constraints on reimbursement, imposition of mandatory discounts, restrictions on access to certain products, transparency measures, and programs for importation from other countries or bulk purchasing.</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4" w:name="page125"/>
    <w:bookmarkEnd w:id="124"/>
    <w:p>
      <w:pPr>
        <w:ind w:right="60"/>
        <w:spacing w:after="0" w:line="253"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w:t>
      </w:r>
    </w:p>
    <w:p>
      <w:pPr>
        <w:spacing w:after="0" w:line="18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Health Technology Assessment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United States, Europe and in many other jurisdictions where we may in the future conduct our operations. As we receive, collect, process, use and store personal and confidential data, we are or may become subject to diverse laws and regulations relating to data privacy and security, such as data breach notification laws, health information privacy and security laws, and consumer protection laws in the United States and abroad including the GDPR and the U.K. GDPR. Privacy and security laws, regulations, and other obligations are complex and constantly evolving, and any unauthorized access, disclosure and other loss of personal data, including by third party vendors providing support services, can result in investigations, proceedings, or actions that lead to significant civil and/or criminal penalties, restrictions on data processing and reputational damage.</w:t>
      </w:r>
    </w:p>
    <w:p>
      <w:pPr>
        <w:spacing w:after="0" w:line="292"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Certain of our operations are conducted through our following wholly-owned subsidiaries: Ascendis Pharma GmbH (Germany), Ascendis Pharma Endocrinology GmbH (Germany) Ascendis Pharma, Inc. (Delaware, United States), Ascendis Pharma Endocrinology, Inc. (Delaware, United States), Ascendis Pharma, Ophthalmology Division A/S (Denmark), Ascendis Pharma, Endocrinology Division A/S (Denmark), Ascendis Pharma Bone Diseases A/S (Denmark), Ascendis Pharma Growth Disorders A/S (Denmark), Ascendis Pharma Oncology Division A/S (Denmark), Ascendis Pharma Nordics A/S (Denmark), Ascendis Pharma Europe A/S (Denmark), Ascendis Pharma UK, Limited (United Kingdom), Ascendis Pharma Iberia S.L. (Spain) and Ascendis Pharma France SASU (France) (established in 2024). These subsidiaries are also set forth in Exhibit 8.1 to this annual report.</w:t>
      </w:r>
    </w:p>
    <w:p>
      <w:pPr>
        <w:spacing w:after="0" w:line="291"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0" w:lineRule="exact"/>
        <w:rPr>
          <w:sz w:val="20"/>
          <w:szCs w:val="20"/>
          <w:color w:val="auto"/>
        </w:rPr>
      </w:pPr>
    </w:p>
    <w:p>
      <w:pPr>
        <w:ind w:right="760"/>
        <w:spacing w:after="0" w:line="280" w:lineRule="auto"/>
        <w:rPr>
          <w:sz w:val="20"/>
          <w:szCs w:val="20"/>
          <w:color w:val="auto"/>
        </w:rPr>
      </w:pPr>
      <w:r>
        <w:rPr>
          <w:rFonts w:ascii="Times New Roman" w:cs="Times New Roman" w:eastAsia="Times New Roman" w:hAnsi="Times New Roman"/>
          <w:sz w:val="18"/>
          <w:szCs w:val="18"/>
          <w:color w:val="auto"/>
        </w:rPr>
        <w:t>Our material tangible fixed assets relate to leased facilities, which are recognized and measured as right-of-use assets in the consolidated financial statements. We do not own any of our facilities.</w:t>
      </w:r>
    </w:p>
    <w:p>
      <w:pPr>
        <w:spacing w:after="0" w:line="16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Our corporate headquarters is located in Hellerup, Denmark. In addition, we have offices and research and development facilities in Germany and the United States. We do not own facilities for manufacturing of our products and product candidates for the potential pivotal clinical studies, and/or for commercial manufacturing. Accordingly, we engage with Contract Manufacturing Organizations (“CMOs”) to manufacture clinical trial supply, as well as we enter into long term collaborations with CMOs to establish and maintain commercial-scale manufacturing processes for our product candidates and devices.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our leased facilities and their related activities.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Option to extend</w:t>
            </w:r>
          </w:p>
        </w:tc>
      </w:tr>
      <w:tr>
        <w:trPr>
          <w:trHeight w:val="135"/>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180"/>
              <w:spacing w:after="0" w:line="134" w:lineRule="exact"/>
              <w:rPr>
                <w:sz w:val="20"/>
                <w:szCs w:val="20"/>
                <w:color w:val="auto"/>
              </w:rPr>
            </w:pPr>
            <w:r>
              <w:rPr>
                <w:rFonts w:ascii="Times New Roman" w:cs="Times New Roman" w:eastAsia="Times New Roman" w:hAnsi="Times New Roman"/>
                <w:sz w:val="12"/>
                <w:szCs w:val="12"/>
                <w:b w:val="1"/>
                <w:bCs w:val="1"/>
                <w:color w:val="auto"/>
              </w:rPr>
              <w:t>Size (in</w:t>
            </w:r>
          </w:p>
        </w:tc>
        <w:tc>
          <w:tcPr>
            <w:tcW w:w="2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7"/>
              </w:rPr>
              <w:t>the lease beyond</w:t>
            </w:r>
          </w:p>
        </w:tc>
      </w:tr>
      <w:tr>
        <w:trPr>
          <w:trHeight w:val="135"/>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200"/>
              <w:spacing w:after="0" w:line="134" w:lineRule="exact"/>
              <w:rPr>
                <w:sz w:val="20"/>
                <w:szCs w:val="20"/>
                <w:color w:val="auto"/>
              </w:rPr>
            </w:pPr>
            <w:r>
              <w:rPr>
                <w:rFonts w:ascii="Times New Roman" w:cs="Times New Roman" w:eastAsia="Times New Roman" w:hAnsi="Times New Roman"/>
                <w:sz w:val="12"/>
                <w:szCs w:val="12"/>
                <w:b w:val="1"/>
                <w:bCs w:val="1"/>
                <w:color w:val="auto"/>
              </w:rPr>
              <w:t>square</w:t>
            </w:r>
          </w:p>
        </w:tc>
        <w:tc>
          <w:tcPr>
            <w:tcW w:w="2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ind w:left="400"/>
              <w:spacing w:after="0" w:line="134" w:lineRule="exact"/>
              <w:rPr>
                <w:sz w:val="20"/>
                <w:szCs w:val="20"/>
                <w:color w:val="auto"/>
              </w:rPr>
            </w:pPr>
            <w:r>
              <w:rPr>
                <w:rFonts w:ascii="Times New Roman" w:cs="Times New Roman" w:eastAsia="Times New Roman" w:hAnsi="Times New Roman"/>
                <w:sz w:val="12"/>
                <w:szCs w:val="12"/>
                <w:b w:val="1"/>
                <w:bCs w:val="1"/>
                <w:color w:val="auto"/>
              </w:rPr>
              <w:t>Enforceable</w:t>
            </w:r>
          </w:p>
        </w:tc>
        <w:tc>
          <w:tcPr>
            <w:tcW w:w="160" w:type="dxa"/>
            <w:vAlign w:val="bottom"/>
          </w:tcPr>
          <w:p>
            <w:pPr>
              <w:spacing w:after="0"/>
              <w:rPr>
                <w:sz w:val="11"/>
                <w:szCs w:val="11"/>
                <w:color w:val="auto"/>
              </w:rPr>
            </w:pPr>
          </w:p>
        </w:tc>
        <w:tc>
          <w:tcPr>
            <w:tcW w:w="1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6"/>
              </w:rPr>
              <w:t>enforceable lease</w:t>
            </w:r>
          </w:p>
        </w:tc>
      </w:tr>
      <w:tr>
        <w:trPr>
          <w:trHeight w:val="155"/>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20" w:type="dxa"/>
            <w:vAlign w:val="bottom"/>
          </w:tcPr>
          <w:p>
            <w:pPr>
              <w:spacing w:after="0"/>
              <w:rPr>
                <w:sz w:val="13"/>
                <w:szCs w:val="13"/>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meters)</w:t>
            </w:r>
          </w:p>
        </w:tc>
        <w:tc>
          <w:tcPr>
            <w:tcW w:w="260" w:type="dxa"/>
            <w:vAlign w:val="bottom"/>
          </w:tcPr>
          <w:p>
            <w:pPr>
              <w:spacing w:after="0"/>
              <w:rPr>
                <w:sz w:val="13"/>
                <w:szCs w:val="13"/>
                <w:color w:val="auto"/>
              </w:rPr>
            </w:pPr>
          </w:p>
        </w:tc>
        <w:tc>
          <w:tcPr>
            <w:tcW w:w="40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2"/>
                <w:szCs w:val="12"/>
                <w:b w:val="1"/>
                <w:bCs w:val="1"/>
                <w:color w:val="auto"/>
              </w:rPr>
              <w:t>Primary usage</w:t>
            </w:r>
          </w:p>
        </w:tc>
        <w:tc>
          <w:tcPr>
            <w:tcW w:w="160" w:type="dxa"/>
            <w:vAlign w:val="bottom"/>
          </w:tcPr>
          <w:p>
            <w:pPr>
              <w:spacing w:after="0"/>
              <w:rPr>
                <w:sz w:val="13"/>
                <w:szCs w:val="13"/>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lease period</w:t>
            </w:r>
          </w:p>
        </w:tc>
        <w:tc>
          <w:tcPr>
            <w:tcW w:w="16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period</w:t>
            </w:r>
          </w:p>
        </w:tc>
      </w:tr>
      <w:tr>
        <w:trPr>
          <w:trHeight w:val="18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Denmark</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r>
      <w:tr>
        <w:trPr>
          <w:trHeight w:val="188"/>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Tuborg Boulevard, Hellerup</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7,775</w:t>
            </w:r>
          </w:p>
        </w:tc>
        <w:tc>
          <w:tcPr>
            <w:tcW w:w="26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Corporate headquarters, administration and R&amp;D</w:t>
            </w:r>
          </w:p>
        </w:tc>
        <w:tc>
          <w:tcPr>
            <w:tcW w:w="16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July, 2029</w:t>
            </w: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Tuborg Boulevard, Hellerup</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4,304</w:t>
            </w:r>
          </w:p>
        </w:tc>
        <w:tc>
          <w:tcPr>
            <w:tcW w:w="260" w:type="dxa"/>
            <w:vAlign w:val="bottom"/>
            <w:shd w:val="clear" w:color="auto" w:fill="CFF0FC"/>
          </w:tcPr>
          <w:p>
            <w:pPr>
              <w:spacing w:after="0"/>
              <w:rPr>
                <w:sz w:val="16"/>
                <w:szCs w:val="16"/>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Administration</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May, 2038</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Germany</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58"/>
        </w:trPr>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October 2024 -</w:t>
            </w: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Rolling 24 months</w:t>
            </w:r>
          </w:p>
        </w:tc>
      </w:tr>
      <w:tr>
        <w:trPr>
          <w:trHeight w:val="192"/>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Technologiepark, Heidelberg</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3,152</w:t>
            </w:r>
          </w:p>
        </w:tc>
        <w:tc>
          <w:tcPr>
            <w:tcW w:w="260" w:type="dxa"/>
            <w:vAlign w:val="bottom"/>
            <w:shd w:val="clear" w:color="auto" w:fill="CFF0FC"/>
          </w:tcPr>
          <w:p>
            <w:pPr>
              <w:spacing w:after="0"/>
              <w:rPr>
                <w:sz w:val="16"/>
                <w:szCs w:val="16"/>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January 2025</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option to extend</w:t>
            </w:r>
          </w:p>
        </w:tc>
      </w:tr>
      <w:tr>
        <w:trPr>
          <w:trHeight w:val="188"/>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Max-Jarecki-Str., Heidelberg</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2,321</w:t>
            </w:r>
          </w:p>
        </w:tc>
        <w:tc>
          <w:tcPr>
            <w:tcW w:w="26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Administration, R&amp;D and laboratory facilities</w:t>
            </w:r>
          </w:p>
        </w:tc>
        <w:tc>
          <w:tcPr>
            <w:tcW w:w="16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January, 2026</w:t>
            </w: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Moosacher strabe, Munich</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592</w:t>
            </w:r>
          </w:p>
        </w:tc>
        <w:tc>
          <w:tcPr>
            <w:tcW w:w="260" w:type="dxa"/>
            <w:vAlign w:val="bottom"/>
            <w:shd w:val="clear" w:color="auto" w:fill="CFF0FC"/>
          </w:tcPr>
          <w:p>
            <w:pPr>
              <w:spacing w:after="0"/>
              <w:rPr>
                <w:sz w:val="16"/>
                <w:szCs w:val="16"/>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Selling and administration</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November, 2033</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58"/>
        </w:trPr>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Option to extend for up</w:t>
            </w:r>
          </w:p>
        </w:tc>
      </w:tr>
      <w:tr>
        <w:trPr>
          <w:trHeight w:val="161"/>
        </w:trPr>
        <w:tc>
          <w:tcPr>
            <w:tcW w:w="2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5"/>
                <w:szCs w:val="15"/>
                <w:color w:val="auto"/>
              </w:rPr>
              <w:t>to two periods of five</w:t>
            </w:r>
          </w:p>
        </w:tc>
      </w:tr>
      <w:tr>
        <w:trPr>
          <w:trHeight w:val="192"/>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Page Mill, Palo Alto, California</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6,765</w:t>
            </w:r>
          </w:p>
        </w:tc>
        <w:tc>
          <w:tcPr>
            <w:tcW w:w="260" w:type="dxa"/>
            <w:vAlign w:val="bottom"/>
            <w:shd w:val="clear" w:color="auto" w:fill="CFF0FC"/>
          </w:tcPr>
          <w:p>
            <w:pPr>
              <w:spacing w:after="0"/>
              <w:rPr>
                <w:sz w:val="16"/>
                <w:szCs w:val="16"/>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Administration</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October, 2033</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years each</w:t>
            </w:r>
          </w:p>
        </w:tc>
      </w:tr>
      <w:tr>
        <w:trPr>
          <w:trHeight w:val="158"/>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Option to extend for</w:t>
            </w:r>
          </w:p>
        </w:tc>
      </w:tr>
      <w:tr>
        <w:trPr>
          <w:trHeight w:val="192"/>
        </w:trPr>
        <w:tc>
          <w:tcPr>
            <w:tcW w:w="2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Redwood City, California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26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6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April, 2030</w:t>
            </w: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additional five years</w:t>
            </w:r>
          </w:p>
        </w:tc>
      </w:tr>
      <w:tr>
        <w:trPr>
          <w:trHeight w:val="158"/>
        </w:trPr>
        <w:tc>
          <w:tcPr>
            <w:tcW w:w="28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5"/>
                <w:szCs w:val="15"/>
                <w:color w:val="auto"/>
              </w:rPr>
              <w:t>West Windsor Township,</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Option to extend for</w:t>
            </w:r>
          </w:p>
        </w:tc>
      </w:tr>
      <w:tr>
        <w:trPr>
          <w:trHeight w:val="192"/>
        </w:trPr>
        <w:tc>
          <w:tcPr>
            <w:tcW w:w="2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New Jersey</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260" w:type="dxa"/>
            <w:vAlign w:val="bottom"/>
            <w:shd w:val="clear" w:color="auto" w:fill="CFF0FC"/>
          </w:tcPr>
          <w:p>
            <w:pPr>
              <w:spacing w:after="0"/>
              <w:rPr>
                <w:sz w:val="16"/>
                <w:szCs w:val="16"/>
                <w:color w:val="auto"/>
              </w:rPr>
            </w:pPr>
          </w:p>
        </w:tc>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Selling and administration</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December, 2025</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additional five years</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6" w:name="page127"/>
    <w:bookmarkEnd w:id="126"/>
    <w:p>
      <w:pPr>
        <w:ind w:right="100"/>
        <w:spacing w:after="0" w:line="280" w:lineRule="auto"/>
        <w:rPr>
          <w:sz w:val="20"/>
          <w:szCs w:val="20"/>
          <w:color w:val="auto"/>
        </w:rPr>
      </w:pPr>
      <w:r>
        <w:rPr>
          <w:rFonts w:ascii="Times New Roman" w:cs="Times New Roman" w:eastAsia="Times New Roman" w:hAnsi="Times New Roman"/>
          <w:sz w:val="18"/>
          <w:szCs w:val="18"/>
          <w:color w:val="auto"/>
        </w:rPr>
        <w:t>In February 2022 we entered into a lease in Germany, comprising 11,390 square meters, with a term of 15 years, expected to commence in 2025, where its main activities will be administration, R&amp;D and laboratory functions.</w:t>
      </w:r>
    </w:p>
    <w:p>
      <w:pPr>
        <w:spacing w:after="0" w:line="16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near-term needs. We believe that suitable additional or alternative space would be available if required in the future on commercially reasonable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2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“Item 3 D. Key Information—Risk Factors” and “Special Note Regarding Forward-Looking Statements” sections and elsewhere in this annual report.</w:t>
      </w:r>
    </w:p>
    <w:p>
      <w:pPr>
        <w:spacing w:after="0" w:line="287"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i w:val="1"/>
          <w:iCs w:val="1"/>
          <w:color w:val="auto"/>
        </w:rPr>
        <w:t>Refer to Part I, Item 5 in our Annual Report on Form 20-F for the financial year ended December 31, 2022 (filed with the SEC on February 16, 2023) for additional discussion of our financial condition and results of operations for the year ended December 31, 2021, as well as our financial condition and results of operations for the year ended December 31, 2022, compared to the year ended December 31, 2021.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business highlights in 2023, please refer to “Item 4B. Information on the Company—Business Overview”.</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and Expenses</w:t>
      </w:r>
    </w:p>
    <w:p>
      <w:pPr>
        <w:spacing w:after="0" w:line="1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Revenue from commercial product sales and clinical trial supply is recognized when the customer has obtained control of the goods and it is probable that we will collect the consideration to which we are entitled for transferring the goods. Control is transferred upon delivery. Service fees are recognized as revenue when the services have been performed. License agreements, which transfer rights to our intellectual property (“IP”) with significant stand-alone value are classified as “right-to-use”, with revenue recognized at the point in time when the customer can use and benefit from the IP.</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operating expenses relate to research and development activities and to selling, general and administration activities. Research and development costs (“R&amp;D costs”) consist primarily of product development and pre-commercial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our IP portfolio, and depreciation of non-current assets used in research and development activities. Selling, general and administrative expenses (“SG&amp;A expenses”) comprise salaries and other personnel costs including pension and share-based payment, office supplies, cost of facilities, professional fees, and depreciation of non-current assets related to selling, general and administrative activities, and pre-commercial and commercial activities.</w:t>
      </w:r>
    </w:p>
    <w:p>
      <w:pPr>
        <w:spacing w:after="0" w:line="18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 material portion of our operating expenses are denominated in other currencies than the Euro, which expose our operating expenses to volatility. We do not enter into derivative financial instruments to manage our exposure to foreign exchange risks.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Assets and Liabilities</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operating assets and liabilities primarily relate to property, plant and equipment, inventories, receivables, prepayments and accruals for development costs, lease liabilities, trade payables and other liabilities, and contract liabilities (deferred income). Property, plant and equipment primarily relate to leased facilities, which are recognized and measured as right-of-use assets in the consolidated financial statements. Our receivables and liabilities are exposed to development in foreign currencies, primarily with respect to the U.S. Dollar. Please refer to the “Foreign Currency Risk” section under “Quantitative and Qualitative Disclosures about Market Risk” in this “Item 5 A. Operating and Financial Review and Prospects—Operating Results” and to Note 17, “Financial Risk Management”, for an analysis of our foreign currency exposure.</w:t>
      </w:r>
    </w:p>
    <w:p>
      <w:pPr>
        <w:spacing w:after="0" w:line="187"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have built up inventories to support the commercialization of SKYTROFA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(lonapegsomatropin) as well as the launch of YORVIPATH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(palopegteriparatide). In addition to commercial inventories, manufacturing of pre-launch inventories is initiated for late-stage product candidates and is recognized as inventories. However, since pre-launch inventories are not realizable prior to obtaining marketing approvals, pre-launch inventories are immediately written down to zero through research and development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w:t>
      </w:r>
    </w:p>
    <w:p>
      <w:pPr>
        <w:spacing w:after="0" w:line="12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The Company’s capital structure consists of equity and external borrowings obtained through issuance of convertible senior notes (“convertible notes”) and royalty funding liabilities. The Company is not subject to any contractually imposed capital requirements or financial covenants. For further details, please refer to “Item 5 B. Operating and Financial Review and Prospects—Liquidity and Capital Resources”.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6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8"/>
        </w:trPr>
        <w:tc>
          <w:tcPr>
            <w:tcW w:w="7720" w:type="dxa"/>
            <w:vAlign w:val="bottom"/>
          </w:tcPr>
          <w:p>
            <w:pPr>
              <w:spacing w:after="0"/>
              <w:rPr>
                <w:sz w:val="14"/>
                <w:szCs w:val="14"/>
                <w:color w:val="auto"/>
              </w:rPr>
            </w:pPr>
          </w:p>
        </w:tc>
        <w:tc>
          <w:tcPr>
            <w:tcW w:w="232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0" w:type="dxa"/>
            <w:vAlign w:val="bottom"/>
          </w:tcPr>
          <w:p>
            <w:pPr>
              <w:spacing w:after="0"/>
              <w:rPr>
                <w:sz w:val="14"/>
                <w:szCs w:val="14"/>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266,718</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12,137</w:t>
            </w: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222,323</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39,037</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413,454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379,624</w:t>
            </w:r>
          </w:p>
        </w:tc>
      </w:tr>
      <w:tr>
        <w:trPr>
          <w:trHeight w:val="24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264,410</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221,227</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(455,541)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(561,814)</w:t>
            </w:r>
          </w:p>
        </w:tc>
      </w:tr>
      <w:tr>
        <w:trPr>
          <w:trHeight w:val="24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of profit/(loss) in associate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(18,395)</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(17,697)</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w:t>
            </w:r>
          </w:p>
        </w:tc>
      </w:tr>
      <w:tr>
        <w:trPr>
          <w:trHeight w:val="24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50,487</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(474,144)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(577,817)</w:t>
            </w:r>
          </w:p>
        </w:tc>
      </w:tr>
      <w:tr>
        <w:trPr>
          <w:trHeight w:val="24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on profit/(loss) for the year</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(481,447)</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(583,194)</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-1127125</wp:posOffset>
            </wp:positionV>
            <wp:extent cx="111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-503555</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-187325</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0"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We had a net loss of €481.4 million for the year ended December 31, 2023 compared to a net loss of €583.2 million for the year ended December 31, 2022. Our total equity presented a negative balance of €145.7 million as of December 31, 2023, compared to a positive balance of €263.3 million as of December 31, 2022. Further details about our results of operations are described in the following sections.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for the years ended December 31, 2023 and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8"/>
        </w:trPr>
        <w:tc>
          <w:tcPr>
            <w:tcW w:w="7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 of commercial products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178,663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100" w:type="dxa"/>
            <w:vAlign w:val="bottom"/>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Rendering of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20"/>
                <w:szCs w:val="20"/>
                <w:color w:val="auto"/>
              </w:rPr>
            </w:pPr>
          </w:p>
        </w:tc>
      </w:tr>
      <w:tr>
        <w:trPr>
          <w:trHeight w:val="24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 of clinical supply</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66,077</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266,718</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Revenue for the year ended December 31, 2023 was €266.7 million, representing an increase of €215.5 million compared to the year ended December 31, 2022. This increase was primarily attributable to the higher commercial sales of SKYTROFA, higher revenue from rendering of services, as well as the $70 million upfront payment received from our exclusive license agreement with Teijin Limited.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quarterly revenue from the sale of commercial products from the three months ended, December 2022,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2023,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 of commercial products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17,084</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31,551</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35,895</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46,968</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64,249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-182880</wp:posOffset>
            </wp:positionV>
            <wp:extent cx="111125" cy="1962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-182880</wp:posOffset>
            </wp:positionV>
            <wp:extent cx="111125" cy="1962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-182880</wp:posOffset>
            </wp:positionV>
            <wp:extent cx="111125" cy="1962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5262880</wp:posOffset>
            </wp:positionH>
            <wp:positionV relativeFrom="paragraph">
              <wp:posOffset>-182880</wp:posOffset>
            </wp:positionV>
            <wp:extent cx="111125" cy="1962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6176645</wp:posOffset>
            </wp:positionH>
            <wp:positionV relativeFrom="paragraph">
              <wp:posOffset>-182880</wp:posOffset>
            </wp:positionV>
            <wp:extent cx="102235" cy="1962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235" cy="19621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Cost of sales for the year ended December 31, 2023 was €44.4 million, representing an increase of €32.3 million compared to the year ended December 31, 2022. This increase was primarily attributable to an increase in commercial products sold but also attributable to a higher level of rendering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external project costs on the development pipeline and other R&amp;D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8"/>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0" w:type="dxa"/>
            <w:vAlign w:val="bottom"/>
          </w:tcPr>
          <w:p>
            <w:pPr>
              <w:spacing w:after="0"/>
              <w:rPr>
                <w:sz w:val="14"/>
                <w:szCs w:val="14"/>
                <w:color w:val="auto"/>
              </w:rPr>
            </w:pPr>
          </w:p>
        </w:tc>
      </w:tr>
      <w:tr>
        <w:trPr>
          <w:trHeight w:val="242"/>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project costs</w:t>
            </w: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TransCon hGH</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98,483</w:t>
            </w:r>
          </w:p>
        </w:tc>
      </w:tr>
      <w:tr>
        <w:trPr>
          <w:trHeight w:val="246"/>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PTH</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41,537</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TransCon CNP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42,133</w:t>
            </w:r>
          </w:p>
        </w:tc>
      </w:tr>
      <w:tr>
        <w:trPr>
          <w:trHeight w:val="246"/>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IL-2 b/g</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31,993</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TransCon TLR7/8 Agonist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25,110</w:t>
            </w:r>
          </w:p>
        </w:tc>
      </w:tr>
      <w:tr>
        <w:trPr>
          <w:trHeight w:val="246"/>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Ophthalmology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project costs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40"/>
        </w:trPr>
        <w:tc>
          <w:tcPr>
            <w:tcW w:w="8760" w:type="dxa"/>
            <w:vAlign w:val="bottom"/>
            <w:gridSpan w:val="2"/>
            <w:shd w:val="clear" w:color="auto" w:fill="CFF0FC"/>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Total external project costs </w:t>
            </w:r>
            <w:r>
              <w:rPr>
                <w:rFonts w:ascii="Times New Roman" w:cs="Times New Roman" w:eastAsia="Times New Roman" w:hAnsi="Times New Roman"/>
                <w:sz w:val="24"/>
                <w:szCs w:val="24"/>
                <w:b w:val="1"/>
                <w:bCs w:val="1"/>
                <w:color w:val="auto"/>
                <w:vertAlign w:val="superscript"/>
              </w:rPr>
              <w:t>(1)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246,397</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225,089</w:t>
            </w:r>
          </w:p>
        </w:tc>
      </w:tr>
      <w:tr>
        <w:trPr>
          <w:trHeight w:val="24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research and development costs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4"/>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127,002</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122,581</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21,062</w:t>
            </w:r>
          </w:p>
        </w:tc>
      </w:tr>
      <w:tr>
        <w:trPr>
          <w:trHeight w:val="246"/>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research and development costs</w:t>
            </w:r>
          </w:p>
        </w:tc>
        <w:tc>
          <w:tcPr>
            <w:tcW w:w="10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167,057</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154,535</w:t>
            </w:r>
          </w:p>
        </w:tc>
      </w:tr>
      <w:tr>
        <w:trPr>
          <w:trHeight w:val="236"/>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413,454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379,624</w:t>
            </w: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-187325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520" w:right="340" w:hanging="512"/>
        <w:spacing w:after="0" w:line="268" w:lineRule="auto"/>
        <w:tabs>
          <w:tab w:leader="none" w:pos="5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other project costs of €5.7 million was reclassified to Ophthalmology and TransCon IL-2 b/g, with €3.2 million and €2.5 million,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9" w:name="page130"/>
    <w:bookmarkEnd w:id="129"/>
    <w:p>
      <w:pPr>
        <w:ind w:right="440"/>
        <w:spacing w:after="0" w:line="280" w:lineRule="auto"/>
        <w:rPr>
          <w:sz w:val="20"/>
          <w:szCs w:val="20"/>
          <w:color w:val="auto"/>
        </w:rPr>
      </w:pPr>
      <w:r>
        <w:rPr>
          <w:rFonts w:ascii="Times New Roman" w:cs="Times New Roman" w:eastAsia="Times New Roman" w:hAnsi="Times New Roman"/>
          <w:sz w:val="18"/>
          <w:szCs w:val="18"/>
          <w:color w:val="auto"/>
        </w:rPr>
        <w:t>The development of R&amp;D costs reflects the advancement of our pipeline of endocrinology and oncology, where we have multiple prodrug therapies in development, as well as ophthalmology.</w:t>
      </w:r>
    </w:p>
    <w:p>
      <w:pPr>
        <w:spacing w:after="0" w:line="163"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7"/>
          <w:szCs w:val="17"/>
          <w:color w:val="auto"/>
        </w:rPr>
        <w:t>R&amp;D costs for the year ended December 31, 2023 was €413.5 million representing an increase of €33.8 million compared to the year ended December 31, 2022. This increase was primarily due to a €26.7 million increase in external project costs within our oncology programs, TransCon IL-2 b/g and TransCon TLR7/8 Agonist, primarily driven by a general increase in development activities and scale-up and transfer activities, as well as higher clinical trial costs.</w:t>
      </w:r>
    </w:p>
    <w:p>
      <w:pPr>
        <w:spacing w:after="0" w:line="2"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External project costs related to TransCon CNP increased by €16.5 million due to new clinical trial start-ups in 2023. External project costs related to TransCon hGH decreased by €34.5 million primarily driven by lower manufacturing costs and lower clinical trial activities, and external project costs related to TransCon PTH of €40.6 million were in line with the prior year. External project costs within ophthalmology increased by €13.6 million, driven by continued product development activities. Other research and development costs increased by €12.5 million, primarily reflecting a general increase in employee and other costs attributable to organizational growth, and also reflecting an impairment charge on leasehold improvements and equipment at one of our R&amp;D sites, following change in planned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quarterly external project costs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1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4"/>
                <w:szCs w:val="14"/>
                <w:color w:val="auto"/>
              </w:rPr>
            </w:pPr>
          </w:p>
        </w:tc>
        <w:tc>
          <w:tcPr>
            <w:tcW w:w="1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project costs</w:t>
            </w: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hGH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0" w:type="dxa"/>
            <w:vAlign w:val="bottom"/>
          </w:tcPr>
          <w:p>
            <w:pPr>
              <w:spacing w:after="0"/>
              <w:rPr>
                <w:sz w:val="1"/>
                <w:szCs w:val="1"/>
                <w:color w:val="auto"/>
              </w:rPr>
            </w:pPr>
          </w:p>
        </w:tc>
      </w:tr>
      <w:tr>
        <w:trPr>
          <w:trHeight w:val="24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PTH</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CNP</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0" w:type="dxa"/>
            <w:vAlign w:val="bottom"/>
          </w:tcPr>
          <w:p>
            <w:pPr>
              <w:spacing w:after="0"/>
              <w:rPr>
                <w:sz w:val="1"/>
                <w:szCs w:val="1"/>
                <w:color w:val="auto"/>
              </w:rPr>
            </w:pPr>
          </w:p>
        </w:tc>
      </w:tr>
      <w:tr>
        <w:trPr>
          <w:trHeight w:val="24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IL-2 b/g</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TLR7/8 Agonist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4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Ophthalmology</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175"/>
        </w:trPr>
        <w:tc>
          <w:tcPr>
            <w:tcW w:w="58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project costs</w:t>
            </w:r>
          </w:p>
        </w:tc>
        <w:tc>
          <w:tcPr>
            <w:tcW w:w="126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507</w:t>
            </w:r>
          </w:p>
        </w:tc>
        <w:tc>
          <w:tcPr>
            <w:tcW w:w="13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8"/>
                <w:szCs w:val="18"/>
                <w:color w:val="auto"/>
              </w:rPr>
              <w:t>36</w:t>
            </w:r>
          </w:p>
        </w:tc>
        <w:tc>
          <w:tcPr>
            <w:tcW w:w="14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8"/>
                <w:szCs w:val="18"/>
                <w:color w:val="auto"/>
              </w:rPr>
              <w:t>129</w:t>
            </w:r>
          </w:p>
        </w:tc>
        <w:tc>
          <w:tcPr>
            <w:tcW w:w="13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67"/>
        </w:trPr>
        <w:tc>
          <w:tcPr>
            <w:tcW w:w="5820" w:type="dxa"/>
            <w:vAlign w:val="bottom"/>
            <w:vMerge w:val="restart"/>
          </w:tcPr>
          <w:p>
            <w:pPr>
              <w:ind w:left="20"/>
              <w:spacing w:after="0" w:line="323" w:lineRule="exact"/>
              <w:rPr>
                <w:sz w:val="20"/>
                <w:szCs w:val="20"/>
                <w:color w:val="auto"/>
              </w:rPr>
            </w:pPr>
            <w:r>
              <w:rPr>
                <w:rFonts w:ascii="Times New Roman" w:cs="Times New Roman" w:eastAsia="Times New Roman" w:hAnsi="Times New Roman"/>
                <w:sz w:val="18"/>
                <w:szCs w:val="18"/>
                <w:b w:val="1"/>
                <w:bCs w:val="1"/>
                <w:color w:val="auto"/>
              </w:rPr>
              <w:t xml:space="preserve">Total external project costs </w:t>
            </w:r>
            <w:r>
              <w:rPr>
                <w:rFonts w:ascii="Times New Roman" w:cs="Times New Roman" w:eastAsia="Times New Roman" w:hAnsi="Times New Roman"/>
                <w:sz w:val="31"/>
                <w:szCs w:val="31"/>
                <w:b w:val="1"/>
                <w:bCs w:val="1"/>
                <w:color w:val="auto"/>
                <w:vertAlign w:val="superscript"/>
              </w:rPr>
              <w:t>(1)</w:t>
            </w:r>
          </w:p>
        </w:tc>
        <w:tc>
          <w:tcPr>
            <w:tcW w:w="1260" w:type="dxa"/>
            <w:vAlign w:val="bottom"/>
          </w:tcPr>
          <w:p>
            <w:pPr>
              <w:spacing w:after="0"/>
              <w:rPr>
                <w:sz w:val="5"/>
                <w:szCs w:val="5"/>
                <w:color w:val="auto"/>
              </w:rPr>
            </w:pPr>
          </w:p>
        </w:tc>
        <w:tc>
          <w:tcPr>
            <w:tcW w:w="1380" w:type="dxa"/>
            <w:vAlign w:val="bottom"/>
            <w:gridSpan w:val="2"/>
          </w:tcPr>
          <w:p>
            <w:pPr>
              <w:spacing w:after="0"/>
              <w:rPr>
                <w:sz w:val="5"/>
                <w:szCs w:val="5"/>
                <w:color w:val="auto"/>
              </w:rPr>
            </w:pPr>
          </w:p>
        </w:tc>
        <w:tc>
          <w:tcPr>
            <w:tcW w:w="1400" w:type="dxa"/>
            <w:vAlign w:val="bottom"/>
            <w:gridSpan w:val="2"/>
          </w:tcPr>
          <w:p>
            <w:pPr>
              <w:spacing w:after="0"/>
              <w:rPr>
                <w:sz w:val="5"/>
                <w:szCs w:val="5"/>
                <w:color w:val="auto"/>
              </w:rPr>
            </w:pPr>
          </w:p>
        </w:tc>
        <w:tc>
          <w:tcPr>
            <w:tcW w:w="13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63,384</w:t>
            </w:r>
          </w:p>
        </w:tc>
        <w:tc>
          <w:tcPr>
            <w:tcW w:w="14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60,142</w:t>
            </w:r>
          </w:p>
        </w:tc>
        <w:tc>
          <w:tcPr>
            <w:tcW w:w="14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73,913</w:t>
            </w:r>
          </w:p>
        </w:tc>
        <w:tc>
          <w:tcPr>
            <w:tcW w:w="1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955"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955" cy="162560"/>
                    </a:xfrm>
                    <a:prstGeom prst="rect">
                      <a:avLst/>
                    </a:prstGeom>
                    <a:noFill/>
                  </pic:spPr>
                </pic:pic>
              </a:graphicData>
            </a:graphic>
          </wp:anchor>
        </w:drawing>
      </w:r>
    </w:p>
    <w:p>
      <w:pPr>
        <w:spacing w:after="0" w:line="74" w:lineRule="exact"/>
        <w:rPr>
          <w:sz w:val="20"/>
          <w:szCs w:val="20"/>
          <w:color w:val="auto"/>
        </w:rPr>
      </w:pPr>
    </w:p>
    <w:p>
      <w:pPr>
        <w:jc w:val="both"/>
        <w:ind w:left="520" w:right="60" w:hanging="512"/>
        <w:spacing w:after="0" w:line="280" w:lineRule="auto"/>
        <w:tabs>
          <w:tab w:leader="none" w:pos="5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2023 and June 30, 2023, other project costs of €2.8 million and €3.8 million, respectively, were reclassified to Ophthalmology and TransCon IL-2 b/g , with €1.7 million and €1.1 million, respectively for the three months ended March 31, 2023, and €3.0 million and €0.8 million, respectively, for the three months ended June 30, 2023.</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SG&amp;A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9"/>
        </w:trPr>
        <w:tc>
          <w:tcPr>
            <w:tcW w:w="7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0" w:type="dxa"/>
            <w:vAlign w:val="bottom"/>
          </w:tcPr>
          <w:p>
            <w:pPr>
              <w:spacing w:after="0"/>
              <w:rPr>
                <w:sz w:val="21"/>
                <w:szCs w:val="21"/>
                <w:color w:val="auto"/>
              </w:rPr>
            </w:pPr>
          </w:p>
        </w:tc>
      </w:tr>
      <w:tr>
        <w:trPr>
          <w:trHeight w:val="242"/>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115,706</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93,981</w:t>
            </w:r>
          </w:p>
        </w:tc>
      </w:tr>
      <w:tr>
        <w:trPr>
          <w:trHeight w:val="246"/>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142,598</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121,425</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04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264,410</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-24765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-7620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SG&amp;A expenses for the year ended December 31, 2023 was €264.4 million representing an increase of €43.2 million compared to the year ended December 31, 2022. This increase was primarily due to higher external commercial expenses related to SKYTROFA in the U.S., pre-launch activities for SKYTROFA outside the U.S., global pre-launch activities for TransCon PTH, higher employee related expenses and other general and administrative expenses attributable to organizational growth.</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The development in quarterly SG&amp;A expenses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68"/>
        </w:trPr>
        <w:tc>
          <w:tcPr>
            <w:tcW w:w="5820" w:type="dxa"/>
            <w:vAlign w:val="bottom"/>
          </w:tcPr>
          <w:p>
            <w:pPr>
              <w:spacing w:after="0"/>
              <w:rPr>
                <w:sz w:val="14"/>
                <w:szCs w:val="14"/>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4"/>
                <w:szCs w:val="14"/>
                <w:color w:val="auto"/>
              </w:rPr>
            </w:pP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8"/>
        </w:trPr>
        <w:tc>
          <w:tcPr>
            <w:tcW w:w="5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29,627</w:t>
            </w:r>
          </w:p>
        </w:tc>
      </w:tr>
      <w:tr>
        <w:trPr>
          <w:trHeight w:val="24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32,016</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4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78"/>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66,539</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70,281</w:t>
            </w:r>
          </w:p>
        </w:tc>
        <w:tc>
          <w:tcPr>
            <w:tcW w:w="1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63,615</w:t>
            </w: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-24765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-7620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-24765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-7620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6257925</wp:posOffset>
            </wp:positionH>
            <wp:positionV relativeFrom="paragraph">
              <wp:posOffset>-24765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6257925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Finance income and finance expenses are affected by development in the U.S. Dollar compared to the Euro, primarily driven by conversion of monetary positions in U.S. Dollar into Euro, including marketable securities, cash and cash equivalents, receivables and payables, convertible notes and royalty funding liabilities. Finance expenses are significantly affected by convertible notes and royalty funding liabilities in the form of interest and amortization charges. In addition, the conversion option embedded in the convertible notes is recognized and measured at fair value, where a non-cash fair value adjustment was recognized through finance income in the year ended December 31, 2023. Similarly, subsequent reporting periods may result in significant non-cash finance income or expenses. For further details, please refer to “Equity Risk” in section “Qualitative Disclosures about Market Risk” of this “Item 5 A. Operating and Financial Review and Prospects—Operating Results” and Note 16, “Financial Assets and Liabilities”.</w:t>
      </w:r>
    </w:p>
    <w:p>
      <w:pPr>
        <w:spacing w:after="0" w:line="18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Finance income for the year ended December 31, 2023 was €43.9 million representing a decrease of €8.3 million compared to the year ended December 31, 2022. This decrease was primarily due to €32.4 million lower exchange rate gains, partly offset by €14.7 million gain on derivative liabilities compared to a loss on derivative liabilities in 2022 and €9.4 million higher interest income from marketable securities and bank deposits.</w:t>
      </w:r>
    </w:p>
    <w:p>
      <w:pPr>
        <w:spacing w:after="0" w:line="17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Finance expenses for the year ended December 31, 2023 was €44.1 million representing a decrease of €6.4 million compared to the year ended December 31, 2022. This decrease was primarily due to a gain on derivative liabilities in 2023 compared to a €15.5 million loss on derivative liabilities in 2022, partly offset by €13.4 million interest expense, primarily attributable to higher amortization charges and interest on convertible notes and royalty funding liabilities, and €4.3 million lower transaction costs attributable to the convertible notes financing.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Judgements and Estimates</w:t>
      </w:r>
    </w:p>
    <w:p>
      <w:pPr>
        <w:spacing w:after="0" w:line="1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IFRS Accounting Standards (“IFRS”), as issued by the International Accounting Standards Board (“IASB”), and as adopted by the European Union (“EU”). A description of critical accounting policies is provided in Note 2, “Summary of Significant Accounting Policies” and Note 3, “Significant Accounting Judgements and Estimates” in the audited consolidated financial statements as of and for the years ended December 31, 2023, 2022 and 2021, of this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Judgements</w:t>
      </w:r>
    </w:p>
    <w:p>
      <w:pPr>
        <w:spacing w:after="0" w:line="120" w:lineRule="exact"/>
        <w:rPr>
          <w:sz w:val="20"/>
          <w:szCs w:val="20"/>
          <w:color w:val="auto"/>
        </w:rPr>
      </w:pPr>
    </w:p>
    <w:p>
      <w:pPr>
        <w:ind w:left="5480" w:right="1080" w:hanging="5481"/>
        <w:spacing w:after="0" w:line="280" w:lineRule="auto"/>
        <w:rPr>
          <w:sz w:val="20"/>
          <w:szCs w:val="20"/>
          <w:color w:val="auto"/>
        </w:rPr>
      </w:pPr>
      <w:r>
        <w:rPr>
          <w:rFonts w:ascii="Times New Roman" w:cs="Times New Roman" w:eastAsia="Times New Roman" w:hAnsi="Times New Roman"/>
          <w:sz w:val="18"/>
          <w:szCs w:val="18"/>
          <w:color w:val="auto"/>
        </w:rPr>
        <w:t>Critical accounting judgements which have a material impact on the consolidated financial statements are described in the following sections.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Generated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Drug Candidates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8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Estimation Uncertainties</w:t>
      </w:r>
    </w:p>
    <w:p>
      <w:pPr>
        <w:spacing w:after="0" w:line="120"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have a risk of causing a material adjustment to the carrying amounts of assets and liabilities within the next financial year, are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Sales Rebates and Product Returns</w:t>
      </w:r>
    </w:p>
    <w:p>
      <w:pPr>
        <w:spacing w:after="0" w:line="118"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Sales deductions and product returns are considered variable consideration and constrained to the extent that a significant reversal in the amount of recognized revenue will not occur when the uncertainties associated with the rebate item are subsequently resolved, or for product returns, when the products are distributed to patients.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Provisions for unsettled sales deductions and product returns are estimated on the basis of a percentage of sales as defined by individual agreements and contracts, and for government rebates by individual state- and plan agreements. Further input in the calculations is based on payer channel mix, current contract prices under eligible programs, patient groups and current inventory levels in the distribution channels. Provisions are adjusted to absolute amounts and recognized as other liabilities when estimated sales rebates and returns are processed.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provisions for sales rebates and product returns was €32.7 million compared to €7.3 million as of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total provisions is disclosed in Note 15, “Provisions”.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Compensation Costs</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IFRS 2, “Share-Based Payment” requires an entity to reflect in its consolidated statement of profit or loss and financial position, the effects of share-based payment transactions. Warrant compensation costs are recognized as cost of sales, research and development costs or selling, general and administrative expenses, as appropriate, over the vesting period, based on management’s best estimate of the number of warrants that will ultimately vest, which is subject to uncertainty.</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32" w:name="page133"/>
    <w:bookmarkEnd w:id="132"/>
    <w:p>
      <w:pPr>
        <w:spacing w:after="0" w:line="254" w:lineRule="auto"/>
        <w:rPr>
          <w:sz w:val="20"/>
          <w:szCs w:val="20"/>
          <w:color w:val="auto"/>
        </w:rPr>
      </w:pPr>
      <w:r>
        <w:rPr>
          <w:rFonts w:ascii="Times New Roman" w:cs="Times New Roman" w:eastAsia="Times New Roman" w:hAnsi="Times New Roman"/>
          <w:sz w:val="18"/>
          <w:szCs w:val="18"/>
          <w:color w:val="auto"/>
        </w:rPr>
        <w:t>Warrant compensation costs are measured according to the grant date fair value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expected forfeitures and expected lifetime of warrants.</w:t>
      </w:r>
    </w:p>
    <w:p>
      <w:pPr>
        <w:spacing w:after="0" w:line="18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2021, the Company for the first time, in connection with determining the grant date fair value of warrants and accordingly warrant compensation costs, applied the price of the Company’s ADSs, each representing one ordinary share of the Company, as input for expected volatility. Until December 31, 2020, the expected volatility was calculated using a simple average of daily historical data of comparable publicly traded companies, as the Company did not have sufficient data for the volatility of the Company’s own share price. Refer to Note 7, “Share-based Payment”, for additional details on the Company’s warrant program and option-pricing model input.</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Warrant compensation cost recognized in the consolidated statement of profit or loss was €28.8 million, €55.2 million and €66.1 million for the years ended December 31,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Embedded Derivatives</w:t>
      </w:r>
    </w:p>
    <w:p>
      <w:pPr>
        <w:spacing w:after="0" w:line="12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Foreign currency conversion options embedded in the convertible notes are accounted for separately as derivative liabilities at fair value through profit or loss.</w:t>
      </w:r>
    </w:p>
    <w:p>
      <w:pPr>
        <w:spacing w:after="0" w:line="1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 and accordingly, derivative liabilities are measured by use of valuation techniques in the form of the Black-Scholes Option Pricing model. Subjective judgements and assumptions, which are subject to estimation uncertainties, need to be exercised in determining the appropriate unobservable input to the valuation model (Level 3 in the fair value hierarchy). This includes volatility of the Company’s share price for a historic period, reflecting the assumption that the historical volatility is indicative of a period similar to the expected lifetime of the options.</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As of December 31, 2023, the valuation of the derivative liabilities was €143.3 million compared to €158.0 million as of December 31, 2022. Changes in assumptions relating to these factors could affect the reported fair value of derivative liabilities. Refer to Note 16, “Financial Assets and Liabilities”, for additional details.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Royalty Funding Liabilities</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carrying amount of royalty funding liabilities is measured according to anticipated future cash flows, which further depends on the amount and timing of future commercial revenue. Assumptions that impact the amount and timing of future commercial revenue are subject to estimation uncertainties, and are subject to a number of factors which are not within the Company's control.</w:t>
      </w:r>
    </w:p>
    <w:p>
      <w:pPr>
        <w:spacing w:after="0" w:line="17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Company will periodically revisit the anticipated amount and timing of future commercial revenue and to the extent such amount or timing is materially different from the previous estimates, a remeasurement gain or loss is recognized through the profit or loss as finance income or expenses, respectively, which would further increase or decrease future interest expenses. Further details are provided in Note 16, “Financial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carrying amount of the royalty funding liabilities was €138.4 million.</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Our activities expose us to financial risks related to changes in foreign currency exchange rates, interest rates and inflation.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below and maturity analysis for non-derivative financial liabilities provided in Note 16, “Financial Assets and Liabilities”.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We are exposed to foreign exchange risk arising from various currency exposures, primarily with respect to the U.S. Dollar. Currently, a significant portion of our revenue is denominated in U.S. Dollars. Our outstanding convertible notes and royalty funding liabilities are denominated in U.S. Dollars. Similarly, a material portion of our operating expenses are denominated in U.S. Dollars. We seek to minimize our exchange rate risk by maintaining cash positions in the currencies in which we expect to incur the majority of our future expenses and we make payments from those positions.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As of December 31, 2023, the direct exposure from U.S. Dollar (U.S. Dollar monetary assets and liabilities held by non-U.S. Dollar entities) was a net liability of €369.1 million, which primarily related to borrowings and other liabilities, countered by cash, cash equivalents and marketable securities. A sensitivity analysis of our exposure to the U.S. Dollar based on outstanding foreign currency denominated monetary items as of December 31, 2023, shows that a strengthening of the U.S. Dollar against the Euro by 10% would decrease profit or loss and equity before tax by €36.9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10% weakening of the U.S. Dollar against the Euro would increase profit or loss and equity before tax by a similar amount.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Outstanding convertible notes comprise a 2.25% coupon fixed rate structure. Further, the effective interest rate on royalty funding liabilities is estimated at initial recognition and takes into account anticipated amount and timing of future cash flows, which further depends on future commercial revenue forecasts and the probability of exercising the embedded buy-out option. Material changes to anticipated future cash flows could potentially increase or decrease future interest expense. In addition, the interest rate on lease liabilities is fixed at the lease commencement date.</w:t>
      </w:r>
    </w:p>
    <w:p>
      <w:pPr>
        <w:spacing w:after="0" w:line="18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Future indebtedness, including those related to lease arrangements, if any, may be subject to higher interest rates. In addition, future interest income from interest-bearing bank deposits and marketable securities may fall short of expectations due to changes in interest rates.</w:t>
      </w:r>
    </w:p>
    <w:p>
      <w:pPr>
        <w:spacing w:after="0" w:line="16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Derivative liabilities are measured at fair value through profit or loss. Since the fair value is exposed from the development in interest rates, the profit or loss is exposed to volatility from such development. For further details about our derivative liabilities, please refer to Note 16, “Financial Assets and Liabilities”.</w:t>
      </w:r>
    </w:p>
    <w:p>
      <w:pPr>
        <w:spacing w:after="0" w:line="17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effects of interest rate fluctuations are not considered a material risk to the Company’s financial position. Accordingly, no interest sensitivity analysis has been presented.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0" w:lineRule="exact"/>
        <w:rPr>
          <w:sz w:val="20"/>
          <w:szCs w:val="20"/>
          <w:color w:val="auto"/>
        </w:rPr>
      </w:pPr>
    </w:p>
    <w:p>
      <w:pPr>
        <w:ind w:right="680"/>
        <w:spacing w:after="0" w:line="311" w:lineRule="auto"/>
        <w:rPr>
          <w:sz w:val="20"/>
          <w:szCs w:val="20"/>
          <w:color w:val="auto"/>
        </w:rPr>
      </w:pPr>
      <w:r>
        <w:rPr>
          <w:rFonts w:ascii="Times New Roman" w:cs="Times New Roman" w:eastAsia="Times New Roman" w:hAnsi="Times New Roman"/>
          <w:sz w:val="17"/>
          <w:szCs w:val="17"/>
          <w:color w:val="auto"/>
        </w:rPr>
        <w:t>Inflation affects us as our vendors may pass on any increased costs to us and accordingly increase our R&amp;D costs, SG&amp;A expenses and cost of manufacturing. We do not believe that inflation had a material impact on our results of operation for the years ended December 31, 2023 and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A3/A-) assigned by international credit-rating agencies.</w:t>
      </w:r>
    </w:p>
    <w:p>
      <w:pPr>
        <w:spacing w:after="0" w:line="18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financial institutions, and our deposits at these institutions exceed insured limits.</w:t>
      </w:r>
    </w:p>
    <w:p>
      <w:pPr>
        <w:spacing w:after="0" w:line="16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 order to mitigate the concentration of credit risks on bank deposits and to preserve capital, a portion of the bank deposits may be placed into marketable securities. Our investment policy, approved by our Board of Directors, only allows investment in marketable securities having investment grade credit-ratings, assigned by international credit-rating agencies.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specified by investment grade credit rating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760" w:type="dxa"/>
            <w:vAlign w:val="bottom"/>
          </w:tcPr>
          <w:p>
            <w:pPr>
              <w:spacing w:after="0"/>
              <w:rPr>
                <w:sz w:val="11"/>
                <w:szCs w:val="11"/>
                <w:color w:val="auto"/>
              </w:rPr>
            </w:pPr>
          </w:p>
        </w:tc>
        <w:tc>
          <w:tcPr>
            <w:tcW w:w="1580" w:type="dxa"/>
            <w:vAlign w:val="bottom"/>
            <w:gridSpan w:val="3"/>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300" w:type="dxa"/>
            <w:vAlign w:val="bottom"/>
            <w:gridSpan w:val="3"/>
          </w:tcPr>
          <w:p>
            <w:pPr>
              <w:jc w:val="right"/>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760" w:type="dxa"/>
            <w:vAlign w:val="bottom"/>
          </w:tcPr>
          <w:p>
            <w:pPr>
              <w:spacing w:after="0"/>
              <w:rPr>
                <w:sz w:val="16"/>
                <w:szCs w:val="16"/>
                <w:color w:val="auto"/>
              </w:rPr>
            </w:pPr>
          </w:p>
        </w:tc>
        <w:tc>
          <w:tcPr>
            <w:tcW w:w="11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investment grade</w:t>
            </w: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credit rating</w:t>
            </w: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grade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Upper medium grade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94,650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medium grade</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Risk</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We are exposed to equity risk from changes in the Company’s share price, when remeasuring derivative liabilities at fair value. Derivative liabilities relate to the foreign currency conversion option embedded in the convertible notes and are measured at fair value through profit or loss.</w:t>
      </w:r>
    </w:p>
    <w:p>
      <w:pPr>
        <w:spacing w:after="0" w:line="16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 and accordingly, derivative liabilities are measured by using the Black-Scholes option pricing model, where the pricing is exposed from changes in the Company’s share price. Since the fair value is exposed to the Company's share price, the profit or loss is exposed to volatility from such development. For further details about our derivative liabilities and for sensitivity analysis, please refer to Note 16, “Financial Assets and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5" w:name="page136"/>
    <w:bookmarkEnd w:id="135"/>
    <w:p>
      <w:pPr>
        <w:ind w:left="520" w:hanging="512"/>
        <w:spacing w:after="0"/>
        <w:tabs>
          <w:tab w:leader="none" w:pos="5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2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Our liquidity and capital resources comprise cash, cash equivalents and marketable securities. As of December 31, 2023, these amounted to €399.4 million, and are specified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2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6"/>
        </w:trPr>
        <w:tc>
          <w:tcPr>
            <w:tcW w:w="7680" w:type="dxa"/>
            <w:vAlign w:val="bottom"/>
          </w:tcPr>
          <w:p>
            <w:pPr>
              <w:spacing w:after="0"/>
              <w:rPr>
                <w:sz w:val="16"/>
                <w:szCs w:val="16"/>
                <w:color w:val="auto"/>
              </w:rPr>
            </w:pPr>
          </w:p>
        </w:tc>
        <w:tc>
          <w:tcPr>
            <w:tcW w:w="16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168"/>
        </w:trPr>
        <w:tc>
          <w:tcPr>
            <w:tcW w:w="7680" w:type="dxa"/>
            <w:vAlign w:val="bottom"/>
          </w:tcPr>
          <w:p>
            <w:pPr>
              <w:spacing w:after="0"/>
              <w:rPr>
                <w:sz w:val="14"/>
                <w:szCs w:val="14"/>
                <w:color w:val="auto"/>
              </w:rPr>
            </w:pPr>
          </w:p>
        </w:tc>
        <w:tc>
          <w:tcPr>
            <w:tcW w:w="228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liquidity and capital resources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399,439</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399,430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in consolidated statement of financial position</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8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399,439</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399,430</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liquidity and capital resources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399,439</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399,430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-640080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-640080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marketable securities had a weighted average duration of 1.0 month after the reporting date.</w:t>
      </w:r>
    </w:p>
    <w:p>
      <w:pPr>
        <w:spacing w:after="0" w:line="22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Our expenditures primarily relate to research and development activities and selling, general and administrative activities to support our business, including our continued development of therapeutic areas within endocrinology and oncology, the commercialization of SKYTROFA and YORVIPATH, and expenses made in anticipation of potential future product launches. 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through a liquidity planning tool to ensure sufficient funds are available to settle liabilities as they become due.</w:t>
      </w:r>
    </w:p>
    <w:p>
      <w:pPr>
        <w:spacing w:after="0" w:line="16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As of December 31, 2023, the consolidated statements of financial position presented a negative balance of equity of €145.7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w:t>
      </w:r>
    </w:p>
    <w:p>
      <w:pPr>
        <w:spacing w:after="0" w:line="183"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capital resources as of December 31, 2023 will be sufficient to meet our projected cash requirements for at least twelve months from the date of this annual report. However, our operating plan may change as a result of many factors currently unknown to us, and we may need to seek additional funds sooner than planned.</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issuance of preference shares, ordinary shares, including our initial public offering, follow-on offerings and exercise of warrants, convertible debt securities, and payments to us made under collaboration agreements. Including our initial public offering, since February 2015, we have completed public offerings of American Depositary Shares (“ADSs”) with net proceeds of $2,256.6 million (or €1,968.4 million at the time of the offerings).</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March 2022, we issued an aggregate principal amount of $575.0 million of fixed rate 2.25% convertible notes. The coupon interest is payable semi-annually. Unless earlier converted or redeemed, the convertible notes will mature on April 1, 2028. Refer to Note 16, “Financial Assets and Liabilities” for further information. We used $116.7 million (€105.3 million) of the net proceeds from the offering in March 2022 to repurchase 1,000,000 ADSs representing our ordinary shares. The holding of treasury shares is disclosed in Note 17, “Financial Risk Management”.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6" w:name="page137"/>
    <w:bookmarkEnd w:id="136"/>
    <w:p>
      <w:pPr>
        <w:spacing w:after="0" w:line="254" w:lineRule="auto"/>
        <w:rPr>
          <w:sz w:val="20"/>
          <w:szCs w:val="20"/>
          <w:color w:val="auto"/>
        </w:rPr>
      </w:pPr>
      <w:r>
        <w:rPr>
          <w:rFonts w:ascii="Times New Roman" w:cs="Times New Roman" w:eastAsia="Times New Roman" w:hAnsi="Times New Roman"/>
          <w:sz w:val="18"/>
          <w:szCs w:val="18"/>
          <w:color w:val="auto"/>
        </w:rPr>
        <w:t>In September 2023, we entered into a $150.0 million capped synthetic royalty funding agreement (the “Royalty Pharma Agreement”) with Royalty Pharma Development Funding, LLC (“Royalty Pharma”). Under the terms of the Royalty Pharma Agreement, in exchange for Royalty Pharma's payment of a cash purchase price of $150.0 million at closing (the “Purchase Price”), we have agreed to sell Royalty Pharma the right to receive payment of 9.15% of U.S. net sales of SKYTROFA, beginning on January 1, 2025 (the “Revenue Interest Payments”). The Revenue Interest Payments to Royalty Pharma will cease upon reaching a multiple of 1.925 times the Purchase Price, or 1.65 times the Purchase Price if Royalty Pharma receives Revenue Interest Payments in that amount by December 31, 2031. The Royalty Pharma Agreement includes a buy-out option under various terms and conditions. Obligations under the Royalty Pharma Agreement are presented as part of borrowings in the consolidated statements of financial position. Further details are provided in Note 16, “Financial Assets and Liabilities”.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cash-forecasts to ensure sufficient cash reserves are available to settle liabilities as they fall due.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our cash requirements primarily relate to the following:</w:t>
      </w:r>
    </w:p>
    <w:p>
      <w:pPr>
        <w:spacing w:after="0" w:line="116" w:lineRule="exact"/>
        <w:rPr>
          <w:sz w:val="20"/>
          <w:szCs w:val="20"/>
          <w:color w:val="auto"/>
        </w:rPr>
      </w:pPr>
    </w:p>
    <w:p>
      <w:pPr>
        <w:ind w:left="1280" w:hanging="509"/>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interest payments and potential repayment (April 1, 2028) of principal amount of convertible notes;</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9.15% on net U.S. SKYTROFA revenue to Royalty Pharma, beginning in the second quarter of 2025;</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obligations related to our office and research and development facilities;</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under our commercial supply agreements and related activities; and</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related to clinical trials for our product candidates in clinical development.</w:t>
      </w:r>
    </w:p>
    <w:p>
      <w:pPr>
        <w:spacing w:after="0" w:line="22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Our cash requirements are determined in Euro applying foreign exchange rates at December 31, 2023. Accordingly, actual cash payments are exposed to development in foreign currencies, primarily with respect to the U.S. Dollar. Please refer to “Foreign Currency Risk” section under “Quantitative and Qualitative Disclosures about Market Risk”, above, and to Note 17, “Financial Risk Management”, for an analysis of our foreign currency exposure.</w:t>
      </w:r>
    </w:p>
    <w:p>
      <w:pPr>
        <w:spacing w:after="0" w:line="175"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Our borrowings comprise convertible notes and royalty funding liabilities. As of December 31, 2023, on an unconverted basis for convertible notes, short-term (payable within twelve months after the reporting date) and long-term (payable beyond twelve months after the reporting date) cash requirements (on an undiscounted basis) for our borrowings are €11.7 million and €785.3 million, respectively. For further details about convertible senior notes and royalty funding liabilities, please refer to descriptions above.</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December 31, 2023, the length of non-cancellable leases varies from one to nine years. Our cash requirements for lease obligations (on an undiscounted basis) are €14.4 million and €100.5 million, on short-term and long-term, respectively. In February 2022 we entered into a facility lease in Germany with an enforceable lease term of 15 years, which is expected to commence in 2025. As of December 31, 2023, when including the impact of this new lease in Germany, which is not recognized as lease liabilities in the consolidated statement of financial position as of December 31, 2023, our short-term and long-term cash requirements for lease obligations (on an undiscounted basis) were expected to be €14.4 million and €168.6 million, respectively. In addition, our lease obligations establish ancillary contractual commitments in relation to utilities, maintenance, levies, and other services. Further, we have commitments related to short-term leases and leases of low value assets, IT and facility related services. Costs relating to those commitments are expensed as incurred.</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also entered into long-term commercial supply agreements, related to commercial manufacturing of SKYTROFA and YORVIPATH. Commercial supply agreements may include purchase obligations, usually determined on binding and non-binding supply forecasts, that are subject to continuous negotiation and adjustments according to individual contractual terms and conditions.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7" w:name="page138"/>
    <w:bookmarkEnd w:id="137"/>
    <w:p>
      <w:pPr>
        <w:ind w:right="440"/>
        <w:spacing w:after="0" w:line="280" w:lineRule="auto"/>
        <w:rPr>
          <w:sz w:val="20"/>
          <w:szCs w:val="20"/>
          <w:color w:val="auto"/>
        </w:rPr>
      </w:pPr>
      <w:r>
        <w:rPr>
          <w:rFonts w:ascii="Times New Roman" w:cs="Times New Roman" w:eastAsia="Times New Roman" w:hAnsi="Times New Roman"/>
          <w:sz w:val="18"/>
          <w:szCs w:val="18"/>
          <w:color w:val="auto"/>
        </w:rPr>
        <w:t>As of December 31, 2023, our short-term and long-term cash requirements were €60.8 million and €68.9 million, respectively, excluding non-binding commitments for purchase of raw materials and intermediates used in the manufacturing process.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part of our ordinary activities, we engage third-party CROs to perform clinical trial activities, which primarily are studies for more than one year. We are not subject to contingent liabilities from potential milestone payments related to licensing of IP.</w:t>
      </w:r>
    </w:p>
    <w:p>
      <w:pPr>
        <w:spacing w:after="0" w:line="16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or any holdings in variable interest entities. In addition, we are not aware of any significant legal claims or disputes.</w:t>
      </w:r>
    </w:p>
    <w:p>
      <w:pPr>
        <w:spacing w:after="0" w:line="16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are sufficient to meet our projected cash requirements for at least twelve months from the date of this annual report. However, our operating plan and actual cash requirements may change as a result of many factors. For example our future funding requirements will depend on many factors, including, but not limited to:</w:t>
      </w:r>
    </w:p>
    <w:p>
      <w:pPr>
        <w:spacing w:after="0" w:line="68" w:lineRule="exact"/>
        <w:rPr>
          <w:sz w:val="20"/>
          <w:szCs w:val="20"/>
          <w:color w:val="auto"/>
        </w:rPr>
      </w:pPr>
    </w:p>
    <w:p>
      <w:pPr>
        <w:ind w:left="1020" w:right="460" w:hanging="504"/>
        <w:spacing w:after="0" w:line="28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our products and product candidates, if approved, including the cost and timing of building our sales and marketing capabilities;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TransCon hGH and any future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products and product candidates, if approved;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manufacturing of our products and product candidates, including the timing of when we incur such costs;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5"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55" w:lineRule="exact"/>
        <w:rPr>
          <w:rFonts w:ascii="Times New Roman" w:cs="Times New Roman" w:eastAsia="Times New Roman" w:hAnsi="Times New Roman"/>
          <w:sz w:val="18"/>
          <w:szCs w:val="18"/>
          <w:color w:val="auto"/>
        </w:rPr>
      </w:pPr>
    </w:p>
    <w:p>
      <w:pPr>
        <w:ind w:left="1020" w:right="660" w:hanging="504"/>
        <w:spacing w:after="0" w:line="28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5"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and the costs of post-marketing studies that could be required by regulatory authorities, including related to the possibility of a delay in the FDA's final regulatory decision on the TransCon PTH NDA;</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15" w:lineRule="exact"/>
        <w:rPr>
          <w:rFonts w:ascii="Times New Roman" w:cs="Times New Roman" w:eastAsia="Times New Roman" w:hAnsi="Times New Roman"/>
          <w:sz w:val="18"/>
          <w:szCs w:val="18"/>
          <w:color w:val="auto"/>
        </w:rPr>
      </w:pPr>
    </w:p>
    <w:p>
      <w:pPr>
        <w:ind w:left="1020" w:right="840" w:hanging="504"/>
        <w:spacing w:after="0" w:line="28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technologies;</w:t>
      </w:r>
    </w:p>
    <w:p>
      <w:pPr>
        <w:spacing w:after="0" w:line="55" w:lineRule="exact"/>
        <w:rPr>
          <w:rFonts w:ascii="Times New Roman" w:cs="Times New Roman" w:eastAsia="Times New Roman" w:hAnsi="Times New Roman"/>
          <w:sz w:val="18"/>
          <w:szCs w:val="18"/>
          <w:color w:val="auto"/>
        </w:rPr>
      </w:pPr>
    </w:p>
    <w:p>
      <w:pPr>
        <w:ind w:left="1020" w:right="640" w:hanging="504"/>
        <w:spacing w:after="0" w:line="28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55" w:lineRule="exact"/>
        <w:rPr>
          <w:rFonts w:ascii="Times New Roman" w:cs="Times New Roman" w:eastAsia="Times New Roman" w:hAnsi="Times New Roman"/>
          <w:sz w:val="18"/>
          <w:szCs w:val="18"/>
          <w:color w:val="auto"/>
        </w:rPr>
      </w:pPr>
    </w:p>
    <w:p>
      <w:pPr>
        <w:ind w:left="1020" w:right="40" w:hanging="504"/>
        <w:spacing w:after="0" w:line="271" w:lineRule="auto"/>
        <w:tabs>
          <w:tab w:leader="none" w:pos="10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progress in the successful commercialization and co-promotion of our products and product candidates, if approved, and our efforts to develop and commercialize our other existing product candidates, including related to any potential delay in the timing of commercial launch for TransCon PTH in the United States, if approved, caused by the FDA's identification of deficiencies in the NDA for TransCon PTH;</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38" w:name="page139"/>
    <w:bookmarkEnd w:id="138"/>
    <w:p>
      <w:pPr>
        <w:ind w:left="1020" w:right="320" w:hanging="504"/>
        <w:spacing w:after="0" w:line="280"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including with respect to TransCon PTH, and our ability to obtain market acceptance of our products and product candidates, if approved; and</w:t>
      </w:r>
    </w:p>
    <w:p>
      <w:pPr>
        <w:spacing w:after="0" w:line="55" w:lineRule="exact"/>
        <w:rPr>
          <w:rFonts w:ascii="Times New Roman" w:cs="Times New Roman" w:eastAsia="Times New Roman" w:hAnsi="Times New Roman"/>
          <w:sz w:val="18"/>
          <w:szCs w:val="18"/>
          <w:color w:val="auto"/>
        </w:rPr>
      </w:pPr>
    </w:p>
    <w:p>
      <w:pPr>
        <w:ind w:left="1020" w:right="240" w:hanging="504"/>
        <w:spacing w:after="0" w:line="265"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2023 and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08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 (used in)</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operating activities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(467,361 )</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(495,699 )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28,338</w:t>
            </w:r>
          </w:p>
        </w:tc>
        <w:tc>
          <w:tcPr>
            <w:tcW w:w="100" w:type="dxa"/>
            <w:vAlign w:val="bottom"/>
          </w:tcPr>
          <w:p>
            <w:pPr>
              <w:spacing w:after="0"/>
              <w:rPr>
                <w:sz w:val="20"/>
                <w:szCs w:val="20"/>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from/(used in) investing activities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286,474</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61,732</w:t>
            </w: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224,742</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financing activities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134,292</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(262,481 )</w:t>
            </w:r>
          </w:p>
        </w:tc>
      </w:tr>
      <w:tr>
        <w:trPr>
          <w:trHeight w:val="20"/>
        </w:trPr>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(46,595 )</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(37,194 )</w:t>
            </w:r>
          </w:p>
        </w:tc>
        <w:tc>
          <w:tcPr>
            <w:tcW w:w="1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(9,401 )</w:t>
            </w:r>
          </w:p>
        </w:tc>
      </w:tr>
      <w:tr>
        <w:trPr>
          <w:trHeight w:val="20"/>
        </w:trPr>
        <w:tc>
          <w:tcPr>
            <w:tcW w:w="65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-24765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Operating Activities</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flows used in operating activities for the year ended December 31, 2023 was €467.4 million, representing a decrease of €28.3 million compared to the year ended December 31, 2022. This decrease was primarily attributable to a €117.7 million lower net loss for the year when adjusted for non-operating financial income and expense, taxes, and non-cash items. Working capital items contributed negatively to operating cash flows by €99.8 million compared to €12.5 million in 2022, primarily driven by increased commercial activities. In addition, change in operating cash flow was negatively impacted by higher interest payments of €6.4 million, primarily related to convertible notes, and €4.5 million higher income taxes paid, partly offset by €8.8 million higher finance income received.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Investing Activities</w:t>
      </w:r>
    </w:p>
    <w:p>
      <w:pPr>
        <w:spacing w:after="0" w:line="12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Cash flows from investing activities for the year ended December 31, 2023 was €286.5 million, compared to €61.7 million for the year ended December 31, 2022, representing an increase of €224.7 million in cash flows from investing activities. This increase was primarily attributable to €222.2 million higher net settlement of marketable securities in line with our liquidity management strategy, and €2.4 million lower investment in property, plant and equipment.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Financing Activities</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Cash flows from financing activities for the year ended December 31, 2023, was €134.3 million, representing a decrease of €262.5 million compared to the year ended December 31, 2022. This decrease was primarily related to €367.0 million lower net proceeds received under the royalty financing in 2023, compared to the convertible notes financing in 2022, where we also used €105.3 million to repurchase our ADSs.</w:t>
      </w:r>
    </w:p>
    <w:p>
      <w:pPr>
        <w:spacing w:after="0" w:line="279" w:lineRule="exact"/>
        <w:rPr>
          <w:sz w:val="20"/>
          <w:szCs w:val="20"/>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Developments, Patents and Licenses, etc.</w:t>
      </w:r>
    </w:p>
    <w:p>
      <w:pPr>
        <w:spacing w:after="0" w:line="12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See “Item 4 B. Information on the Company—Business Overview” and “Item 5 A. Operating and Financial Review and Prospects – Operating Results— Financial Operations Overview—Research and Development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39" w:name="page140"/>
    <w:bookmarkEnd w:id="139"/>
    <w:p>
      <w:pPr>
        <w:ind w:left="360" w:hanging="352"/>
        <w:spacing w:after="0"/>
        <w:tabs>
          <w:tab w:leader="none" w:pos="3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A. Operating and Financial Review and Prospects—Operating Results.”</w:t>
      </w:r>
    </w:p>
    <w:p>
      <w:pPr>
        <w:spacing w:after="0" w:line="327" w:lineRule="exact"/>
        <w:rPr>
          <w:sz w:val="20"/>
          <w:szCs w:val="20"/>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A. Operating and Financial Review and Prospects—Operating Results.”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6"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w:t>
      </w:r>
    </w:p>
    <w:p>
      <w:pPr>
        <w:spacing w:after="0" w:line="286" w:lineRule="exact"/>
        <w:rPr>
          <w:sz w:val="20"/>
          <w:szCs w:val="20"/>
          <w:color w:val="auto"/>
        </w:rPr>
      </w:pPr>
    </w:p>
    <w:p>
      <w:pPr>
        <w:ind w:right="518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Members of Our Board of Directors, Executive Board and Senior Management </w:t>
      </w:r>
      <w:r>
        <w:rPr>
          <w:rFonts w:ascii="Times New Roman" w:cs="Times New Roman" w:eastAsia="Times New Roman" w:hAnsi="Times New Roman"/>
          <w:sz w:val="18"/>
          <w:szCs w:val="18"/>
          <w:b w:val="1"/>
          <w:bCs w:val="1"/>
          <w:i w:val="1"/>
          <w:iCs w:val="1"/>
          <w:color w:val="auto"/>
        </w:rPr>
        <w:t>Board of Directors</w:t>
      </w:r>
    </w:p>
    <w:p>
      <w:pPr>
        <w:spacing w:after="0" w:line="1"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of our current board members and their respective ages as of the date of this annual report. Our board of directors is divided into two classes for purposes of election. One class is elected at each annual meeting of shareholders to serve for a two-year term. Our board of directors currently consists of six members. All board members are eligible for re-election once their term expires.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our board members is our registered office address at Tuborg Boulevard 12, DK-2900 Hellerup, Denmark.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of Board Member</w:t>
            </w:r>
          </w:p>
        </w:tc>
        <w:tc>
          <w:tcPr>
            <w:tcW w:w="1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3"/>
                <w:szCs w:val="13"/>
                <w:color w:val="auto"/>
              </w:rPr>
            </w:pPr>
          </w:p>
        </w:tc>
        <w:tc>
          <w:tcPr>
            <w:tcW w:w="554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Albert Cha, M.D., Ph.D.</w:t>
            </w:r>
          </w:p>
        </w:tc>
        <w:tc>
          <w:tcPr>
            <w:tcW w:w="10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shd w:val="clear" w:color="auto" w:fill="CFF0FC"/>
          </w:tcPr>
          <w:p>
            <w:pPr>
              <w:spacing w:after="0"/>
              <w:rPr>
                <w:sz w:val="20"/>
                <w:szCs w:val="20"/>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Chairman and Board Member</w:t>
            </w:r>
          </w:p>
        </w:tc>
        <w:tc>
          <w:tcPr>
            <w:tcW w:w="12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Bright</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4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Carl Fairey Jr.</w:t>
            </w:r>
          </w:p>
        </w:tc>
        <w:tc>
          <w:tcPr>
            <w:tcW w:w="10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shd w:val="clear" w:color="auto" w:fill="CFF0FC"/>
          </w:tcPr>
          <w:p>
            <w:pPr>
              <w:spacing w:after="0"/>
              <w:rPr>
                <w:sz w:val="21"/>
                <w:szCs w:val="21"/>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Lars Holtug</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4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Siham Imani</w:t>
            </w:r>
          </w:p>
        </w:tc>
        <w:tc>
          <w:tcPr>
            <w:tcW w:w="10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46</w:t>
            </w:r>
          </w:p>
        </w:tc>
        <w:tc>
          <w:tcPr>
            <w:tcW w:w="160" w:type="dxa"/>
            <w:vAlign w:val="bottom"/>
            <w:shd w:val="clear" w:color="auto" w:fill="CFF0FC"/>
          </w:tcPr>
          <w:p>
            <w:pPr>
              <w:spacing w:after="0"/>
              <w:rPr>
                <w:sz w:val="21"/>
                <w:szCs w:val="21"/>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Møller Mikkelsen</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Board Member</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non-employee board members.</w:t>
      </w:r>
    </w:p>
    <w:p>
      <w:pPr>
        <w:spacing w:after="0" w:line="21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Albert Cha, M.D., Ph.D. </w:t>
      </w:r>
      <w:r>
        <w:rPr>
          <w:rFonts w:ascii="Times New Roman" w:cs="Times New Roman" w:eastAsia="Times New Roman" w:hAnsi="Times New Roman"/>
          <w:sz w:val="18"/>
          <w:szCs w:val="18"/>
          <w:color w:val="auto"/>
        </w:rPr>
        <w:t>has served as a member of our board of directors since November 2014 and as the Chairman of our board of directors since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Dr. Cha is a Managing Partner with Frazier Life Sciences. He previously was a managing partner at Vivo Capital LLC, a healthcare investment firm, where he has served in various positions, most recently as a managing partner. Dr. Cha currently serves as a member of the board of directors of KalVista Pharmaceuticals, Inc. In addition, Dr. Cha has previously served as a member of the board of directors of Aclaris Therapeutics, a publicly traded dermatology company, Sierra Oncology, Inc., a publicly traded oncology company, Biohaven Pharmaceutical Holding Company Ltd, a publicly traded clinical-stage biopharmaceutical company targeting neurological diseases and Menlo Therapeutics, Inc., a publicly traded late-stage biopharmaceutical company focused on the treatment of pruritus. Dr. Cha holds a B.S. and an M.S. from Stanford University and an M.D. and a Ph.D. from the University of California at Los Angeles.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0" w:name="page141"/>
    <w:bookmarkEnd w:id="140"/>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Lisa Bright </w:t>
      </w:r>
      <w:r>
        <w:rPr>
          <w:rFonts w:ascii="Times New Roman" w:cs="Times New Roman" w:eastAsia="Times New Roman" w:hAnsi="Times New Roman"/>
          <w:sz w:val="18"/>
          <w:szCs w:val="18"/>
          <w:color w:val="auto"/>
        </w:rPr>
        <w:t>has served as a member of our board of directors since April 2017. Ms. Bright has over 30 years of executive experience in global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and over five years’ experience serving as a member of the board of directors of a number of public and private companies. Ms. Bright is currently Chair of the board of Resolution Therapeutics Ltd, a biotechnology company, and a Non-Executive Director of Dechra Pharmaceuticals PLC, a veterinary pharmaceutical company, and Immedica Pharma AB, a pharmaceutical company. She is also an Advisor to Syncona Limited, an investment trust dedicated to life science investments, and DRI Capital, a private equity fund. Previously, she served as President International for Intercept Pharmaceuticals, Inc., a biopharmaceutical company, from July 2016 to January 2021, and from November 2014 to July 2016 as Chief Commercial and Corporate Affairs Officer and Senior Vice President, Head of EUCA. During her tenure at Intercept, Ms. Bright oversaw the development of the global launch of an orphan medicine in the United States and Europe, including building the commercial organization in the United States and establishing legal affiliates and teams across Europe and Canada.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 Ms. Bright served in various positions of increasing responsibility at GlaxoSmithKline plc from 1997 to 2006 including Vice President Commercial Planning and Operations and Vice President General Manager NZ and Vice President Head of Sales, UK and Ireland. Prior to that, Ms. Bright also worked at Sanofi from 1992 to 1996 and GlaxoSmithKline from 1989 to 1992. Ms. Bright received her B.Sc. in Pharmacology from University College London, United Kingdom.</w:t>
      </w:r>
    </w:p>
    <w:p>
      <w:pPr>
        <w:spacing w:after="0" w:line="1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William Carl Fairey Jr. </w:t>
      </w:r>
      <w:r>
        <w:rPr>
          <w:rFonts w:ascii="Times New Roman" w:cs="Times New Roman" w:eastAsia="Times New Roman" w:hAnsi="Times New Roman"/>
          <w:sz w:val="18"/>
          <w:szCs w:val="18"/>
          <w:color w:val="auto"/>
        </w:rPr>
        <w:t>has served as a member of our board of directors since September 2022. Mr. Fairey currently serves as Executive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 Therapeutics, Inc., a clinical-stage company developing inhaled therapeutics for cardiopulmonary diseases, a position he has held since January 2022. Since August 2021, Mr. Fairey has also served as a director of both Mirum Pharmaceuticals, a publicly-traded biotechnology company developing therapies for rare liver diseases, and Aileron Therapeutics (previously Lung Therapeutics, Inc.), a public clinical-stage biopharmaceutical company. Prior to Respira, Mr. Fairey was Executive Vice President and Chief Commercial Officer of MyoKardia, Inc., a publicly-traded clinical-stage biopharmaceutical company, from January 2019 until November 2020 when the company was acquired by Bristol-Myers Squibb. From January 2018 until January 2019, Mr. Fairey served as Executive Vice President and Chief Operating Officer of ChemoCentryx, Inc., a publicly-traded biopharmaceutical company developing therapeutics to treat autoimmune diseases, inflammatory disorders and cancer, primarily focused on orphan and rare diseases. Before ChemoCentryx, between 2001 and 2017, Mr. Fairey served in various positions of increasing responsibility at Actelion Pharmaceuticals, including as President of Actelion’s U.S. division, as well as Vice President, Asia Pacific Region, Managing Director and Vice President, Australia Asia Pacific Region, President of Actelion Canada, and Vice President, US Sales and Managed Markets. Mr. Fairey began his pharmaceutical career as Business Director, Healthcare Management for the Parke-Davis Division of Warner-Lambert between 1988 and 2000. Mr. Fairey received a B.S. in Biology from the University of Oregon and an M.B.A. from Saint Mary’s College of California.</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Lars Holtug, M.Sc. </w:t>
      </w:r>
      <w:r>
        <w:rPr>
          <w:rFonts w:ascii="Times New Roman" w:cs="Times New Roman" w:eastAsia="Times New Roman" w:hAnsi="Times New Roman"/>
          <w:sz w:val="18"/>
          <w:szCs w:val="18"/>
          <w:color w:val="auto"/>
        </w:rPr>
        <w:t>has served as a member of our board of directors since November 2018. Mr. Holtug was a partner at PricewaterhouseCoopers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Statsautoriseret Revisionspartnerselskab (“PwC”) from 1993 to 2015. Mr. Holtug also currently serves as chairman of Erhvervsinvest Management A/S, a private equity firm, Gaming Investment A/S, a gaming solutions provider, and its eleven subsidiaries, and of Caretag, a healthcare technology company. Mr. Holtug also currently serves as a board member of Evaxion Biotech A/S, as well as the Audit Committee Chair and Remuneration Committee member. Previously, he was Chairman of PwC in Denmark from 2005 to 2009. From 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Statsautoriserede Revisorer) from 1998 to 2002, and a member of the Auditing Standards Board from 1993 to 1998. Mr. Holtug holds an M.Sc. from Copenhagen Business School and is educated as a state authorized public accountant in Denmark.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color w:val="auto"/>
        </w:rPr>
        <w:t xml:space="preserve">Siham Imani </w:t>
      </w:r>
      <w:r>
        <w:rPr>
          <w:rFonts w:ascii="Times New Roman" w:cs="Times New Roman" w:eastAsia="Times New Roman" w:hAnsi="Times New Roman"/>
          <w:sz w:val="17"/>
          <w:szCs w:val="17"/>
          <w:color w:val="auto"/>
        </w:rPr>
        <w:t>has served as a member of our board of directors since September 2022. Ms. Imani currently serves as Head of Global Strategy, Shared Value</w:t>
      </w:r>
    </w:p>
    <w:p>
      <w:pPr>
        <w:spacing w:after="0" w:line="42" w:lineRule="exact"/>
        <w:rPr>
          <w:sz w:val="20"/>
          <w:szCs w:val="20"/>
          <w:color w:val="auto"/>
        </w:rPr>
      </w:pPr>
    </w:p>
    <w:p>
      <w:pPr>
        <w:ind w:right="40" w:firstLine="8"/>
        <w:spacing w:after="0" w:line="250" w:lineRule="auto"/>
        <w:tabs>
          <w:tab w:leader="none" w:pos="18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and Business Development at Chiesi Farmaceutici S.p.A., a pharmaceutical company. Before joining Chiesi, Ms. Imani was EVP Corporate Strategy &amp; Business Development at Servier, where she contributed to the Group transformation as a leader in Cardio Metabolism and Oncology. Prior to Servier, Ms. Imani held various positions of increasing responsibility at Ipsen, a French pharmaceutical company specializing in oncology, neuroscience and rare diseases, including Vice President European Business Unit Pediatric Endocrinology, Vice President Commercial Transformation &amp; Support, Vice President Corporate Strategic Planning and Executive Committee Secretary, from 2011 until April 2017. Ms. Imani also worked for Pierre Fabre and Biosense Webster, part of the Johnson &amp; Johnson Family of Companies, from 2005 to 2010. Ms. Imani is also a board member at Lapropan, a pharmaceutical company. Ms. Imani received a Master in Economics and a Master in Chemistry from École Polytechnique in Palaiseau, France and an M.B.A. from Stanford University.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Board Diversity Matrix (As of December 31, 2023)</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960" w:type="dxa"/>
            <w:vAlign w:val="bottom"/>
            <w:shd w:val="clear" w:color="auto" w:fill="CFF0FC"/>
          </w:tcPr>
          <w:p>
            <w:pPr>
              <w:spacing w:after="0"/>
              <w:rPr>
                <w:sz w:val="21"/>
                <w:szCs w:val="21"/>
                <w:color w:val="auto"/>
              </w:rPr>
            </w:pP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Private Issuer</w:t>
            </w:r>
          </w:p>
        </w:tc>
        <w:tc>
          <w:tcPr>
            <w:tcW w:w="196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960" w:type="dxa"/>
            <w:vAlign w:val="bottom"/>
            <w:shd w:val="clear" w:color="auto" w:fill="CFF0FC"/>
          </w:tcPr>
          <w:p>
            <w:pPr>
              <w:spacing w:after="0"/>
              <w:rPr>
                <w:sz w:val="21"/>
                <w:szCs w:val="21"/>
                <w:color w:val="auto"/>
              </w:rPr>
            </w:pPr>
          </w:p>
        </w:tc>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32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8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6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c>
          <w:tcPr>
            <w:tcW w:w="0" w:type="dxa"/>
            <w:vAlign w:val="bottom"/>
          </w:tcPr>
          <w:p>
            <w:pPr>
              <w:spacing w:after="0"/>
              <w:rPr>
                <w:sz w:val="1"/>
                <w:szCs w:val="1"/>
                <w:color w:val="auto"/>
              </w:rPr>
            </w:pPr>
          </w:p>
        </w:tc>
      </w:tr>
      <w:tr>
        <w:trPr>
          <w:trHeight w:val="130"/>
        </w:trPr>
        <w:tc>
          <w:tcPr>
            <w:tcW w:w="360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3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 Gender</w:t>
            </w:r>
          </w:p>
        </w:tc>
        <w:tc>
          <w:tcPr>
            <w:tcW w:w="0" w:type="dxa"/>
            <w:vAlign w:val="bottom"/>
          </w:tcPr>
          <w:p>
            <w:pPr>
              <w:spacing w:after="0"/>
              <w:rPr>
                <w:sz w:val="1"/>
                <w:szCs w:val="1"/>
                <w:color w:val="auto"/>
              </w:rPr>
            </w:pPr>
          </w:p>
        </w:tc>
      </w:tr>
      <w:tr>
        <w:trPr>
          <w:trHeight w:val="114"/>
        </w:trPr>
        <w:tc>
          <w:tcPr>
            <w:tcW w:w="3600" w:type="dxa"/>
            <w:vAlign w:val="bottom"/>
            <w:tcBorders>
              <w:bottom w:val="single" w:sz="8" w:color="CFF0FC"/>
            </w:tcBorders>
            <w:shd w:val="clear" w:color="auto" w:fill="CFF0FC"/>
          </w:tcPr>
          <w:p>
            <w:pPr>
              <w:spacing w:after="0"/>
              <w:rPr>
                <w:sz w:val="9"/>
                <w:szCs w:val="9"/>
                <w:color w:val="auto"/>
              </w:rPr>
            </w:pPr>
          </w:p>
        </w:tc>
        <w:tc>
          <w:tcPr>
            <w:tcW w:w="1960" w:type="dxa"/>
            <w:vAlign w:val="bottom"/>
            <w:tcBorders>
              <w:bottom w:val="single" w:sz="8" w:color="CFF0FC"/>
            </w:tcBorders>
            <w:shd w:val="clear" w:color="auto" w:fill="CFF0FC"/>
          </w:tcPr>
          <w:p>
            <w:pPr>
              <w:spacing w:after="0"/>
              <w:rPr>
                <w:sz w:val="9"/>
                <w:szCs w:val="9"/>
                <w:color w:val="auto"/>
              </w:rPr>
            </w:pPr>
          </w:p>
        </w:tc>
        <w:tc>
          <w:tcPr>
            <w:tcW w:w="1300" w:type="dxa"/>
            <w:vAlign w:val="bottom"/>
            <w:tcBorders>
              <w:bottom w:val="single" w:sz="8" w:color="auto"/>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1300" w:type="dxa"/>
            <w:vAlign w:val="bottom"/>
            <w:tcBorders>
              <w:bottom w:val="single" w:sz="8" w:color="auto"/>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auto"/>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300" w:type="dxa"/>
            <w:vAlign w:val="bottom"/>
            <w:tcBorders>
              <w:bottom w:val="single" w:sz="8" w:color="auto"/>
            </w:tcBorders>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3260" w:type="dxa"/>
            <w:vAlign w:val="bottom"/>
            <w:tcBorders>
              <w:bottom w:val="single" w:sz="8" w:color="CFF0FC"/>
            </w:tcBorders>
            <w:gridSpan w:val="2"/>
            <w:shd w:val="clear" w:color="auto" w:fill="CFF0FC"/>
          </w:tcPr>
          <w:p>
            <w:pPr>
              <w:jc w:val="center"/>
              <w:ind w:left="1890"/>
              <w:spacing w:after="0"/>
              <w:rPr>
                <w:sz w:val="20"/>
                <w:szCs w:val="20"/>
                <w:color w:val="auto"/>
              </w:rPr>
            </w:pPr>
            <w:r>
              <w:rPr>
                <w:rFonts w:ascii="Times New Roman" w:cs="Times New Roman" w:eastAsia="Times New Roman" w:hAnsi="Times New Roman"/>
                <w:sz w:val="18"/>
                <w:szCs w:val="18"/>
                <w:color w:val="auto"/>
                <w:w w:val="88"/>
              </w:rPr>
              <w:t>2</w:t>
            </w:r>
          </w:p>
        </w:tc>
        <w:tc>
          <w:tcPr>
            <w:tcW w:w="1480" w:type="dxa"/>
            <w:vAlign w:val="bottom"/>
            <w:tcBorders>
              <w:bottom w:val="single" w:sz="8" w:color="CFF0FC"/>
            </w:tcBorders>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Borders>
              <w:bottom w:val="single" w:sz="8" w:color="CFF0FC"/>
            </w:tcBorders>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CFF0FC"/>
            </w:tcBorders>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Underrepresented Individual in Home Country</w:t>
            </w:r>
          </w:p>
        </w:tc>
        <w:tc>
          <w:tcPr>
            <w:tcW w:w="3260" w:type="dxa"/>
            <w:vAlign w:val="bottom"/>
            <w:tcBorders>
              <w:bottom w:val="single" w:sz="8" w:color="CFF0FC"/>
            </w:tcBorders>
            <w:gridSpan w:val="2"/>
            <w:shd w:val="clear" w:color="auto" w:fill="CFF0FC"/>
          </w:tcPr>
          <w:p>
            <w:pPr>
              <w:jc w:val="center"/>
              <w:ind w:left="1890"/>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9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-964565</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-964565</wp:posOffset>
            </wp:positionV>
            <wp:extent cx="1022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-964565</wp:posOffset>
            </wp:positionV>
            <wp:extent cx="1022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and Executive Board</w:t>
      </w:r>
    </w:p>
    <w:p>
      <w:pPr>
        <w:spacing w:after="0" w:line="120"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of the members of our senior management, their respective ages and their positions as of the date of this annual report. In addition to serving as members of our senior management, Mr. Mikkelsen, Mr. Smith, Mr. Wolff Jensen, and Ms. Sønderbjerg currently serve as the members of our executive board. The business address of these members of our senior management is our registered office address at Tuborg Boulevard 12, DK-2900 Hellerup, Denmark.</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6"/>
                <w:szCs w:val="16"/>
                <w:color w:val="auto"/>
              </w:rPr>
            </w:pPr>
          </w:p>
        </w:tc>
        <w:tc>
          <w:tcPr>
            <w:tcW w:w="744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 Møller Mikkelsen</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shd w:val="clear" w:color="auto" w:fill="CFF0FC"/>
          </w:tcPr>
          <w:p>
            <w:pPr>
              <w:spacing w:after="0"/>
              <w:rPr>
                <w:sz w:val="20"/>
                <w:szCs w:val="20"/>
                <w:color w:val="auto"/>
              </w:rPr>
            </w:pPr>
          </w:p>
        </w:tc>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Board Member</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Flemming Steen Jensen</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0"/>
                <w:szCs w:val="20"/>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Product Supply and Quality</w:t>
            </w:r>
          </w:p>
        </w:tc>
      </w:tr>
      <w:tr>
        <w:trPr>
          <w:trHeight w:val="24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Wolff Jensen, L.L.M.</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shd w:val="clear" w:color="auto" w:fill="CFF0FC"/>
          </w:tcPr>
          <w:p>
            <w:pPr>
              <w:spacing w:after="0"/>
              <w:rPr>
                <w:sz w:val="21"/>
                <w:szCs w:val="21"/>
                <w:color w:val="auto"/>
              </w:rPr>
            </w:pPr>
          </w:p>
        </w:tc>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Camilla Harder Hartvig</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tcPr>
          <w:p>
            <w:pPr>
              <w:spacing w:after="0"/>
              <w:rPr>
                <w:sz w:val="20"/>
                <w:szCs w:val="20"/>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Global Chief Commercial Officer</w:t>
            </w:r>
          </w:p>
        </w:tc>
      </w:tr>
      <w:tr>
        <w:trPr>
          <w:trHeight w:val="24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Peter Rasmussen</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shd w:val="clear" w:color="auto" w:fill="CFF0FC"/>
          </w:tcPr>
          <w:p>
            <w:pPr>
              <w:spacing w:after="0"/>
              <w:rPr>
                <w:sz w:val="21"/>
                <w:szCs w:val="21"/>
                <w:color w:val="auto"/>
              </w:rPr>
            </w:pPr>
          </w:p>
        </w:tc>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Finance and Principal Accounting Officer</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Stina Singel, M.D., Ph.D.</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0"/>
                <w:szCs w:val="20"/>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Clinical Development, Oncology</w:t>
            </w:r>
          </w:p>
        </w:tc>
      </w:tr>
      <w:tr>
        <w:trPr>
          <w:trHeight w:val="24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Scott T. Smith</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shd w:val="clear" w:color="auto" w:fill="CFF0FC"/>
          </w:tcPr>
          <w:p>
            <w:pPr>
              <w:spacing w:after="0"/>
              <w:rPr>
                <w:sz w:val="21"/>
                <w:szCs w:val="21"/>
                <w:color w:val="auto"/>
              </w:rPr>
            </w:pPr>
          </w:p>
        </w:tc>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Lotte Sønderbjerg</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0"/>
                <w:szCs w:val="20"/>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Administrative Officer</w:t>
            </w:r>
          </w:p>
        </w:tc>
      </w:tr>
      <w:tr>
        <w:trPr>
          <w:trHeight w:val="24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Kennett Sprogøe, Ph.D.</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45</w:t>
            </w:r>
          </w:p>
        </w:tc>
        <w:tc>
          <w:tcPr>
            <w:tcW w:w="140" w:type="dxa"/>
            <w:vAlign w:val="bottom"/>
            <w:shd w:val="clear" w:color="auto" w:fill="CFF0FC"/>
          </w:tcPr>
          <w:p>
            <w:pPr>
              <w:spacing w:after="0"/>
              <w:rPr>
                <w:sz w:val="21"/>
                <w:szCs w:val="21"/>
                <w:color w:val="auto"/>
              </w:rPr>
            </w:pPr>
          </w:p>
        </w:tc>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Innovation and Research</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senior management and executive board.</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2" w:name="page143"/>
    <w:bookmarkEnd w:id="142"/>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 Møller Mikkelsen </w:t>
      </w:r>
      <w:r>
        <w:rPr>
          <w:rFonts w:ascii="Times New Roman" w:cs="Times New Roman" w:eastAsia="Times New Roman" w:hAnsi="Times New Roman"/>
          <w:sz w:val="18"/>
          <w:szCs w:val="18"/>
          <w:color w:val="auto"/>
        </w:rPr>
        <w:t>founded Ascendis Pharma and has served as President and Chief Executive Officer as well as a Board member since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and currently serves on the board of VISEN Pharmaceuticals and as Chairman of the board of Hummingbird Bioscience, Inc. From 2002 to 2006, Mr. Mikkelsen served as President and Chief Executive Officer of LifeCycle Pharma A/S, now Veloxis Pharmaceuticals A/S, which was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Flemming Steen Jensen </w:t>
      </w:r>
      <w:r>
        <w:rPr>
          <w:rFonts w:ascii="Times New Roman" w:cs="Times New Roman" w:eastAsia="Times New Roman" w:hAnsi="Times New Roman"/>
          <w:sz w:val="18"/>
          <w:szCs w:val="18"/>
          <w:color w:val="auto"/>
        </w:rPr>
        <w:t>has served as our Executive Vice President, Product Supply and Quality since January 2023 and previously served as our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Product Supply and Quality from August 2015 until January 2023. Prior to this, Mr. Jensen served as Corporate Vice 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 Chain, Engineering and Maintenance, Business Improvements, Quality Assurance and Health, Safety and Environment) and member of the Board of Management of ALK-Abello A/S, a pharmaceutical company. From 1986 to 1999, Mr. Jensen held several management positions relating to development, manufacturing and engineering within Novo Nordisk A/S. Mr. Jensen is also a member of various boards of directors of companies in the life sciences industry. Mr. Jensen holds a M.Sc. in Pharmacy from the University of Copenhagen.</w:t>
      </w:r>
    </w:p>
    <w:p>
      <w:pPr>
        <w:spacing w:after="0" w:line="18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Wolff Jensen, L.L.M. </w:t>
      </w:r>
      <w:r>
        <w:rPr>
          <w:rFonts w:ascii="Times New Roman" w:cs="Times New Roman" w:eastAsia="Times New Roman" w:hAnsi="Times New Roman"/>
          <w:sz w:val="18"/>
          <w:szCs w:val="18"/>
          <w:color w:val="auto"/>
        </w:rPr>
        <w:t>has served as our Executive Vice President, Chief Legal Officer since January 2023 and previously served as our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Chief Legal Officer from June 2013 until January 2023. Mr. Jensen also currently serves as Chairman of the board of VISEN Pharmaceuticals. In addition, Mr. Jensen served as Chairman of our board of directors from January 2008 to May 2021 and as our Acting Chief Financial Officer from May 2008 to June 2013. Prior to Ascendis Pharma, Mr. Jensen served as Executive Vice President &amp; Chief Financial Officer of LifeCycle Pharma, currently known as Veloxis Pharmaceuticals A/S, a publicly traded biotechnology company, from 2003 to 2008. Prior to joining Veloxis, Mr. Jensen served as Senior Vice President &amp; Chief Financial Officer of Genmab A/S from 2000 to 2003. Mr. Jensen received an L.L.M. degree from the University of Copenhagen.</w:t>
      </w:r>
    </w:p>
    <w:p>
      <w:pPr>
        <w:spacing w:after="0" w:line="18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Camilla Harder Hartvig </w:t>
      </w:r>
      <w:r>
        <w:rPr>
          <w:rFonts w:ascii="Times New Roman" w:cs="Times New Roman" w:eastAsia="Times New Roman" w:hAnsi="Times New Roman"/>
          <w:sz w:val="17"/>
          <w:szCs w:val="17"/>
          <w:color w:val="auto"/>
        </w:rPr>
        <w:t>has served as our Executive Vice President and Global Chief Commercial Officer since June 2023. Prior to joining Ascendis, 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Hartvig was Chief Commercial Officer at Theramex from January 2022 to April 2023. From 2017 to 2021, Ms. Hartvig led the International region (EMEA, Canada, Russia/CIS, LatAm and APAC) as a Senior Vice President at Alexion Pharmaceuticals. Before Alexion, Ms. Hartvig held commercial roles of increasing responsibility at companies that included Allergan/Actavis, AstraZeneca, and Novartis. Ms. Hartvig is a board member at Danish Crown A/S, C WorldWide, and Goddess Gaia Ventures. Ms. Hartvig holds Master in Business degrees from both Copenhagen Business School and HEC in Paris.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Peter Rasmussen </w:t>
      </w:r>
      <w:r>
        <w:rPr>
          <w:rFonts w:ascii="Times New Roman" w:cs="Times New Roman" w:eastAsia="Times New Roman" w:hAnsi="Times New Roman"/>
          <w:sz w:val="18"/>
          <w:szCs w:val="18"/>
          <w:color w:val="auto"/>
        </w:rPr>
        <w:t>has served as our Vice President, Finance and Principal Accounting Officer since March 2014 and served as our Principal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February 2016 to August 2016. Prior to joining Ascendis, Mr. Rasmussen worked as a financial consultant for Ascendis from October 2013 to March 2014. From June 2008 to August 2012, Mr. Rasmussen served as the Chief Financial Officer of AdvanDx, Inc., a privately held medical device company. From 2007 to 2008, prior to AdvanDx, Mr. Rasmussen served as Head of Finance at Veloxis Pharmaceuticals A/S. Mr. Rasmussen is a state authorized public accountant in Denmark and received an M.Sc. in Business Economics and Auditing from Copenhagen Business School.</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43" w:name="page144"/>
    <w:bookmarkEnd w:id="143"/>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Stina Singel, M.D., Ph.D. </w:t>
      </w:r>
      <w:r>
        <w:rPr>
          <w:rFonts w:ascii="Times New Roman" w:cs="Times New Roman" w:eastAsia="Times New Roman" w:hAnsi="Times New Roman"/>
          <w:sz w:val="18"/>
          <w:szCs w:val="18"/>
          <w:color w:val="auto"/>
        </w:rPr>
        <w:t>has served as our Executive Vice President, Head of Clinical Development, Oncology, since January 2023 and previously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Senior Vice President, Head of Clinical Development, Oncology, from January 2022 until January 2023 and as our Head of Clinical Development, Oncology, from May 2020 to January 2022. Prior to joining Ascendis, Dr. Singel served as Senior Vice President and Head of Clinical Development and Drug Safety at Nektar Therapeutics, a biopharmaceutical company, from April 2019 to May 2020. From March 2014 to April 2019, Dr. Singel held various positions of increasing responsibility at Genentech, a biotechnology company, ending her tenure as Senior Medical Director. From 2017 to 2019, Dr. Singel also served as an Adjunct Clinical Instructor at the Stanford University School of Medicine. Prior to Genentech, Dr. Singel was an Attending Physician and Clinical Translational Researcher focused on breast oncology at the University of Texas Southwestern Medical Center from 2010 to 2014 and was a Medical Oncologist at Washington Hematology Oncology, a community practice in Yakima, Washington, from 2008 to 2010.</w:t>
      </w: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Dr. Singel received her M.D. and Ph.D. degrees from the University of California, San Diego, where she also completed her internal medicine residency and medical oncology fellowship. She received her B.S. in Biology (magna cum laude) from Harvard University.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Scott T. Smith </w:t>
      </w:r>
      <w:r>
        <w:rPr>
          <w:rFonts w:ascii="Times New Roman" w:cs="Times New Roman" w:eastAsia="Times New Roman" w:hAnsi="Times New Roman"/>
          <w:sz w:val="18"/>
          <w:szCs w:val="18"/>
          <w:color w:val="auto"/>
        </w:rPr>
        <w:t>has served as our Executive Vice President and Chief Financial Officer since January 2023 and previously served as our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from August 2016 until January 2023. Previously, Mr. Smith served as Director of the 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 Mr. Smith received his M.B.A. from the Stanford University Graduate School of Business and graduated magna cum laude with a B.A. in Economics/Accounting-Physics from Claremont McKenna College.</w:t>
      </w:r>
    </w:p>
    <w:p>
      <w:pPr>
        <w:spacing w:after="0" w:line="1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Lotte Sønderbjerg </w:t>
      </w:r>
      <w:r>
        <w:rPr>
          <w:rFonts w:ascii="Times New Roman" w:cs="Times New Roman" w:eastAsia="Times New Roman" w:hAnsi="Times New Roman"/>
          <w:sz w:val="18"/>
          <w:szCs w:val="18"/>
          <w:color w:val="auto"/>
        </w:rPr>
        <w:t>has served as our Executive Vice President, Chief Administrative Officer since January 2023 and previously served as our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Administrative Officer from December 2007 until January 2023. Mrs. Sønderbjerg is also Managing Director of Ascendis Pharma GmbH. Prior to joining Ascendis, Mrs. Sønderbjerg served as Senior Director of Human Resources and as Finance Director at Veloxis Pharmaceuticals A/S from 2003 to 2007. Prior to joining Veloxis Pharmaceuticals A/S, Mrs. Sønderbjerg served as Senior Director of Finance and Human Resources at Acadia Pharmaceuticals Inc., a publicly traded biotechnology company, from 1996 to 2003. Prior to her career in biotech, Mrs. Sønderbjerg was the Executive Secretary for the CEO and Board of Directors of Novo Nordisk A/S and PA to leading audit partner in PricewaterhouseCoopers LLP in Denmark. Mrs. Sønderbjerg received a Masters of Arts in International Business Communications from University of Aarhus.</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Kennett Sprogøe, Ph.D. </w:t>
      </w:r>
      <w:r>
        <w:rPr>
          <w:rFonts w:ascii="Times New Roman" w:cs="Times New Roman" w:eastAsia="Times New Roman" w:hAnsi="Times New Roman"/>
          <w:sz w:val="18"/>
          <w:szCs w:val="18"/>
          <w:color w:val="auto"/>
        </w:rPr>
        <w:t>has held positions of increasing responsibility at Ascendis Pharma since December 2007, including serving as our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Head of Innovation and Research since January 2023, Senior Vice President, Head of Innovation and Research from 2019 until January 2023, Senior Vice President of Product Innovation since January 2016 and Vice President Product Innovation since June 2014. Prior to joining Ascendis,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w:t>
      </w:r>
    </w:p>
    <w:p>
      <w:pPr>
        <w:spacing w:after="0" w:line="290"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Members of Our Board of Directors and Senior Management</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primary objective of our board of director and senior management compensation program is to attract, motivate, reward and retain the managerial talent needed to achieve our business objectives. In addition, the compensation program is intended to compensate all employees at competitive market rates, while recognizing extraordinary accomplishments.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4" w:name="page145"/>
    <w:bookmarkEnd w:id="144"/>
    <w:p>
      <w:pPr>
        <w:ind w:right="100"/>
        <w:spacing w:after="0" w:line="259" w:lineRule="auto"/>
        <w:rPr>
          <w:sz w:val="20"/>
          <w:szCs w:val="20"/>
          <w:color w:val="auto"/>
        </w:rPr>
      </w:pPr>
      <w:r>
        <w:rPr>
          <w:rFonts w:ascii="Times New Roman" w:cs="Times New Roman" w:eastAsia="Times New Roman" w:hAnsi="Times New Roman"/>
          <w:sz w:val="18"/>
          <w:szCs w:val="18"/>
          <w:color w:val="auto"/>
        </w:rPr>
        <w:t>Compensation arrangements for our senior management have been designed to align a portion of their compensation 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2023, Dr. Cha received board fees in the amount of €110,770 for his membership on our board and €28,951 for his tenure on the remuneration committee and the partial year of tenure on the audit committee and the nominating and corporate governance committee, Ms. Bright received €60,420 for her membership on our board and €32,224 for her tenure on the audit committee, the remuneration committee and the nominating and corporate governance committee, Mr. Holtug received €60,420 for his membership on our board and €35,749 for his tenure on the audit committee and the remuneration committee, Dr. Tordjman received €55,385 for her membership on our board and €16,616 for her tenure on the nominating and corporate governance committee, which reflected her partial year of service on our board, Ms. Imani received €60,420 for her membership on our board and €9,063 for her tenure on the nominating and corporate governance committee, and Mr. Fairey received €60,420 for his membership on our board and €12,588 for his tenure on the audit committee. Mr. Mikkelsen did not receive any separate compensation in respect of his service on the board. His compensation under our senior management compensation program is described below.</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aggregate compensation paid to our senior management who were employed by our Company during 2023, consisting of Messrs. Mikkelsen, Smith, M. Jensen, Rasmussen, F. Jensen, Ms. Sønderbjerg, Ms. Hartvig and Drs. Sprogøe, Okkels, Breinholt, Singel and Volck for the fiscal year ended December 31, 2023 was approximately €32.2 million. Ms. Hartvig joined the company as a member of our senior management in June 2023. Mr. Okkels served as a member of our senior management until September 2023, and Dr. Breinholt and Dr. Volck both served as members of our senior management until December 2023. The aggregate compensation consists of: (i) short-term employee benefits including salary and other in-kind benefits of approximately €5.2 million, (ii) bonuses of €3.9 million, (iii) share-based payments of approximately €22.8 million, and (iv) post-employment and other benefits of €0.3 million. Share-based payments reflect the 2023 expenses of warrants, RSUs and PSUs granted in or before 2023.</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March 1, 2023, our board of directors granted an aggregate of 16,188 RSUs to certain non-employee board members of the company and 171,758 RSUs to certain members of senior management. The aggregate grant date fair value of the RSUs granted was €19.9 million. Also on March 1, 2023, our board of directors granted an aggregate of 112,268 PSUs to certain members of senior management. The aggregated grant date fair value of the PSUs was €11.9 million.</w:t>
      </w:r>
    </w:p>
    <w:p>
      <w:pPr>
        <w:spacing w:after="0" w:line="18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On June 13, 2023, our board of directors granted 66,750 warrants to a new non-executive member of senior management with an exercise price per share of $92.93 (€86.10). The aggregate fair value of the warrants granted was €2.9 million.</w:t>
      </w:r>
    </w:p>
    <w:p>
      <w:pPr>
        <w:spacing w:after="0" w:line="163"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As of December 31, 2023, a total of 14,026 RSUs and 154,699 RSUs were outstanding for non-employee board members and members of senior management, respectively, and a total of 90,533 PSUs were outstanding for members of senior management.</w:t>
      </w:r>
    </w:p>
    <w:p>
      <w:pPr>
        <w:spacing w:after="0" w:line="16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The total amount set aside or accrued by us to provide pension, retirement or similar benefits for the members of our board of directors and members of senior management for the year ended December 31, 2023 was €0.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Agreements</w:t>
      </w:r>
    </w:p>
    <w:p>
      <w:pPr>
        <w:spacing w:after="0" w:line="1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entered into employment or service agreements with our senior management. The employment agreement with Mr. Mikkelsen contains a termination notice period of six months for a termination by Mr. Mikkelsen and twelve months for a termination by us. It also provides that during the 12-month period following a change of control (“change in control period”), we may only terminate Mr. Mikkelsen’s employment with 18 months’ notice. In addition, if during the change in control period, the position and responsibilities of Mr. Mikkelsen are changed (excluding insignificant changes), Mr. Mikkelsen will be entitled to regard his employment as having been terminated by us with twelve months’ notice. The agreements with Messrs. M. Jensen and F. Jensen and Ms. Sønderbjerg contain a termination notice period of three months for a termination by the employee and six months for a termination by us (except that in the case of Ms. Sønderbjerg, the notice period may be no less than the notice required pursuant to the rules of the Danish Salaried Employees Act with the addition of two months). The agreement with Mr. Rasmussen contains a termination notice period of one month for a termination by the employee and three months for a termination by us (except that the notice period may be no less than the notice required pursuant to the rules of the Danish Salaried Employees Act). The agreement with Dr. Sprogøe contains a termination notice period of one month for a termination by the employee and six months for a termination by us. The agreement with Ms. Hartvig provides that the notice period may be no less than the notice required pursuant to the rules of the Danish Salaried Employees Act, which is at any time mutually extended by both parties with two months' notice to the end of a month, provided that the executive may terminate with one month's notice in the case of certain conditions related to sickness, and provided that the notice period may be no less than six months for a termination by us. The Company entered into a Separation Agreement with Dr. Volck on December 20, 2023 which provides for continued salary, bonus and benefits through her termination date of June 30, 2024. Dr. Okkels tendered his resignation effective September 30, 2023. However, the Company agreed to release him from his work obligations effective June 19, 2023 but continue his salary through September 2023. The agreement with Dr. Singel provides that the employment is at-will and may be terminated by either the executive or us at any time. The agreements with certain of the foregoing senior management contain post-termination non-competition covenants that generally may last for a period of twelve months post-termination and entitle the executives to their base salary, or portion thereof, during the period. The agreement with Mr. Smith provides that the employment is at-will and may be terminated by either the executive or us at any time. However, the agreement with Mr. Smith provides that in the event the executive is terminated by us without “cause” or he resigns for “good reason” (as defined in the agreement), the executive will be eligible to receive continued base salary during a certain severance period following termination and continued healthcare coverage up until the end of the month in which the severance period ends. Such severance period commences on the date of termination and ends on the six-month anniversary of the date of termination. In addition, in the event of the executive’s termination due to disability, he will be eligible to receive continued base salary and healthcare coverage for 120 days following termination, and in the event of his death, we will pay his estate a lump sum amount equal to three months of his base salary.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Incentive Program</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2023, our board of directors is authorized to issue an additional 1,564,221 warrants in the period ending May 29, 2027.</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6" w:name="page147"/>
    <w:bookmarkEnd w:id="146"/>
    <w:p>
      <w:pPr>
        <w:ind w:right="220"/>
        <w:spacing w:after="0" w:line="255"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warrants granted under the program between December 2012 and until and including November 2021 generally vest 1/48th per month from the date of grant subject to continued service for employees, consultants and grants to board members. However, effective from December 2015, subsequent grants to board members vest 1/24th per month from the date of grant.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8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for warrants granted under the program as in effect since December 9, 2021, the following applies: 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 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w:t>
      </w:r>
    </w:p>
    <w:p>
      <w:pPr>
        <w:spacing w:after="0" w:line="18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For 6,523,784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83"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The table below sets forth information regarding outstanding warrants held by those members of our board of directors and senior management who, assuming the exercise of warrants, beneficially own 1% or more of our total outstanding ordinary shares as of December 31, 2023.</w:t>
      </w:r>
    </w:p>
    <w:p>
      <w:pPr>
        <w:sectPr>
          <w:pgSz w:w="11900" w:h="16838" w:orient="portrait"/>
          <w:cols w:equalWidth="0" w:num="1">
            <w:col w:w="11240"/>
          </w:cols>
          <w:pgMar w:left="320" w:top="579" w:right="339" w:bottom="1440" w:gutter="0" w:footer="0" w:header="0"/>
        </w:sectPr>
      </w:pPr>
    </w:p>
    <w:p>
      <w:pPr>
        <w:spacing w:after="0" w:line="34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0"/>
          <w:szCs w:val="10"/>
          <w:b w:val="1"/>
          <w:bCs w:val="1"/>
          <w:color w:val="auto"/>
        </w:rPr>
        <w:t>Awards</w:t>
      </w:r>
    </w:p>
    <w:p>
      <w:pPr>
        <w:spacing w:after="0" w:line="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granted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Awards</w:t>
      </w:r>
    </w:p>
    <w:p>
      <w:pPr>
        <w:spacing w:after="0" w:line="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granted and</w:t>
      </w:r>
    </w:p>
    <w:p>
      <w:pPr>
        <w:jc w:val="center"/>
        <w:ind w:right="200"/>
        <w:spacing w:after="0" w:line="233" w:lineRule="auto"/>
        <w:rPr>
          <w:sz w:val="20"/>
          <w:szCs w:val="20"/>
          <w:color w:val="auto"/>
        </w:rPr>
      </w:pPr>
      <w:r>
        <w:rPr>
          <w:rFonts w:ascii="Times New Roman" w:cs="Times New Roman" w:eastAsia="Times New Roman" w:hAnsi="Times New Roman"/>
          <w:sz w:val="12"/>
          <w:szCs w:val="12"/>
          <w:b w:val="1"/>
          <w:bCs w:val="1"/>
          <w:color w:val="auto"/>
        </w:rPr>
        <w:t>outstanding,</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but unvested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Award</w:t>
      </w:r>
    </w:p>
    <w:p>
      <w:pPr>
        <w:spacing w:after="0" w:line="37" w:lineRule="exact"/>
        <w:rPr>
          <w:sz w:val="20"/>
          <w:szCs w:val="20"/>
          <w:color w:val="auto"/>
        </w:rPr>
      </w:pPr>
    </w:p>
    <w:p>
      <w:pPr>
        <w:sectPr>
          <w:pgSz w:w="11900" w:h="16838" w:orient="portrait"/>
          <w:cols w:equalWidth="0" w:num="3">
            <w:col w:w="4940" w:space="720"/>
            <w:col w:w="840" w:space="720"/>
            <w:col w:w="4020"/>
          </w:cols>
          <w:pgMar w:left="320" w:top="579"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382"/>
              <w:spacing w:after="0" w:line="121" w:lineRule="exact"/>
              <w:rPr>
                <w:sz w:val="20"/>
                <w:szCs w:val="20"/>
                <w:color w:val="auto"/>
              </w:rPr>
            </w:pPr>
            <w:r>
              <w:rPr>
                <w:rFonts w:ascii="Times New Roman" w:cs="Times New Roman" w:eastAsia="Times New Roman" w:hAnsi="Times New Roman"/>
                <w:sz w:val="12"/>
                <w:szCs w:val="12"/>
                <w:b w:val="1"/>
                <w:bCs w:val="1"/>
                <w:color w:val="auto"/>
              </w:rPr>
              <w:t>and</w:t>
            </w:r>
          </w:p>
        </w:tc>
        <w:tc>
          <w:tcPr>
            <w:tcW w:w="240" w:type="dxa"/>
            <w:vAlign w:val="bottom"/>
          </w:tcPr>
          <w:p>
            <w:pPr>
              <w:spacing w:after="0"/>
              <w:rPr>
                <w:sz w:val="10"/>
                <w:szCs w:val="10"/>
                <w:color w:val="auto"/>
              </w:rPr>
            </w:pPr>
          </w:p>
        </w:tc>
        <w:tc>
          <w:tcPr>
            <w:tcW w:w="1100" w:type="dxa"/>
            <w:vAlign w:val="bottom"/>
          </w:tcPr>
          <w:p>
            <w:pPr>
              <w:jc w:val="right"/>
              <w:ind w:right="29"/>
              <w:spacing w:after="0" w:line="121" w:lineRule="exact"/>
              <w:rPr>
                <w:sz w:val="20"/>
                <w:szCs w:val="20"/>
                <w:color w:val="auto"/>
              </w:rPr>
            </w:pPr>
            <w:r>
              <w:rPr>
                <w:rFonts w:ascii="Times New Roman" w:cs="Times New Roman" w:eastAsia="Times New Roman" w:hAnsi="Times New Roman"/>
                <w:sz w:val="12"/>
                <w:szCs w:val="12"/>
                <w:b w:val="1"/>
                <w:bCs w:val="1"/>
                <w:color w:val="auto"/>
              </w:rPr>
              <w:t>as of February 29,</w:t>
            </w:r>
          </w:p>
        </w:tc>
        <w:tc>
          <w:tcPr>
            <w:tcW w:w="320" w:type="dxa"/>
            <w:vAlign w:val="bottom"/>
          </w:tcPr>
          <w:p>
            <w:pPr>
              <w:spacing w:after="0"/>
              <w:rPr>
                <w:sz w:val="10"/>
                <w:szCs w:val="10"/>
                <w:color w:val="auto"/>
              </w:rPr>
            </w:pPr>
          </w:p>
        </w:tc>
        <w:tc>
          <w:tcPr>
            <w:tcW w:w="1080" w:type="dxa"/>
            <w:vAlign w:val="bottom"/>
          </w:tcPr>
          <w:p>
            <w:pPr>
              <w:jc w:val="right"/>
              <w:ind w:right="268"/>
              <w:spacing w:after="0" w:line="121"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240" w:type="dxa"/>
            <w:vAlign w:val="bottom"/>
          </w:tcPr>
          <w:p>
            <w:pPr>
              <w:spacing w:after="0"/>
              <w:rPr>
                <w:sz w:val="10"/>
                <w:szCs w:val="10"/>
                <w:color w:val="auto"/>
              </w:rPr>
            </w:pPr>
          </w:p>
        </w:tc>
        <w:tc>
          <w:tcPr>
            <w:tcW w:w="3060" w:type="dxa"/>
            <w:vAlign w:val="bottom"/>
          </w:tcPr>
          <w:p>
            <w:pPr>
              <w:jc w:val="right"/>
              <w:ind w:right="1288"/>
              <w:spacing w:after="0" w:line="121" w:lineRule="exact"/>
              <w:rPr>
                <w:sz w:val="20"/>
                <w:szCs w:val="20"/>
                <w:color w:val="auto"/>
              </w:rPr>
            </w:pPr>
            <w:r>
              <w:rPr>
                <w:rFonts w:ascii="Times New Roman" w:cs="Times New Roman" w:eastAsia="Times New Roman" w:hAnsi="Times New Roman"/>
                <w:sz w:val="12"/>
                <w:szCs w:val="12"/>
                <w:b w:val="1"/>
                <w:bCs w:val="1"/>
                <w:color w:val="auto"/>
              </w:rPr>
              <w:t>Award</w:t>
            </w:r>
          </w:p>
        </w:tc>
      </w:tr>
      <w:tr>
        <w:trPr>
          <w:trHeight w:val="155"/>
        </w:trPr>
        <w:tc>
          <w:tcPr>
            <w:tcW w:w="19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240" w:type="dxa"/>
            <w:vAlign w:val="bottom"/>
          </w:tcPr>
          <w:p>
            <w:pPr>
              <w:spacing w:after="0"/>
              <w:rPr>
                <w:sz w:val="13"/>
                <w:szCs w:val="13"/>
                <w:color w:val="auto"/>
              </w:rPr>
            </w:pPr>
          </w:p>
        </w:tc>
        <w:tc>
          <w:tcPr>
            <w:tcW w:w="11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3"/>
                <w:szCs w:val="13"/>
                <w:color w:val="auto"/>
              </w:rPr>
            </w:pPr>
          </w:p>
        </w:tc>
        <w:tc>
          <w:tcPr>
            <w:tcW w:w="10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2"/>
                <w:szCs w:val="12"/>
                <w:b w:val="1"/>
                <w:bCs w:val="1"/>
                <w:color w:val="auto"/>
              </w:rPr>
              <w:t>Price(s)</w:t>
            </w:r>
          </w:p>
        </w:tc>
        <w:tc>
          <w:tcPr>
            <w:tcW w:w="240" w:type="dxa"/>
            <w:vAlign w:val="bottom"/>
          </w:tcPr>
          <w:p>
            <w:pPr>
              <w:spacing w:after="0"/>
              <w:rPr>
                <w:sz w:val="13"/>
                <w:szCs w:val="13"/>
                <w:color w:val="auto"/>
              </w:rPr>
            </w:pPr>
          </w:p>
        </w:tc>
        <w:tc>
          <w:tcPr>
            <w:tcW w:w="306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2"/>
                <w:szCs w:val="12"/>
                <w:b w:val="1"/>
                <w:bCs w:val="1"/>
                <w:color w:val="auto"/>
              </w:rPr>
              <w:t>Expiration Date</w:t>
            </w:r>
          </w:p>
        </w:tc>
      </w:tr>
      <w:tr>
        <w:trPr>
          <w:trHeight w:val="185"/>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Jan Møller Mikkelsen</w:t>
            </w:r>
          </w:p>
        </w:tc>
        <w:tc>
          <w:tcPr>
            <w:tcW w:w="160" w:type="dxa"/>
            <w:vAlign w:val="bottom"/>
            <w:shd w:val="clear" w:color="auto" w:fill="CFF0FC"/>
          </w:tcPr>
          <w:p>
            <w:pPr>
              <w:spacing w:after="0"/>
              <w:rPr>
                <w:sz w:val="16"/>
                <w:szCs w:val="16"/>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18, 2015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217,000</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15.6750</w:t>
            </w:r>
          </w:p>
        </w:tc>
        <w:tc>
          <w:tcPr>
            <w:tcW w:w="240" w:type="dxa"/>
            <w:vAlign w:val="bottom"/>
            <w:shd w:val="clear" w:color="auto" w:fill="CFF0FC"/>
          </w:tcPr>
          <w:p>
            <w:pPr>
              <w:spacing w:after="0"/>
              <w:rPr>
                <w:sz w:val="16"/>
                <w:szCs w:val="16"/>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18, 2025</w:t>
            </w:r>
          </w:p>
        </w:tc>
      </w:tr>
      <w:tr>
        <w:trPr>
          <w:trHeight w:val="188"/>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14, 2016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19.4194</w:t>
            </w:r>
          </w:p>
        </w:tc>
        <w:tc>
          <w:tcPr>
            <w:tcW w:w="240" w:type="dxa"/>
            <w:vAlign w:val="bottom"/>
          </w:tcPr>
          <w:p>
            <w:pPr>
              <w:spacing w:after="0"/>
              <w:rPr>
                <w:sz w:val="16"/>
                <w:szCs w:val="16"/>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14, 2026</w:t>
            </w:r>
          </w:p>
        </w:tc>
      </w:tr>
      <w:tr>
        <w:trPr>
          <w:trHeight w:val="188"/>
        </w:trPr>
        <w:tc>
          <w:tcPr>
            <w:tcW w:w="1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12, 2017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31.5995</w:t>
            </w:r>
          </w:p>
        </w:tc>
        <w:tc>
          <w:tcPr>
            <w:tcW w:w="240" w:type="dxa"/>
            <w:vAlign w:val="bottom"/>
            <w:shd w:val="clear" w:color="auto" w:fill="CFF0FC"/>
          </w:tcPr>
          <w:p>
            <w:pPr>
              <w:spacing w:after="0"/>
              <w:rPr>
                <w:sz w:val="16"/>
                <w:szCs w:val="16"/>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12, 2027</w:t>
            </w:r>
          </w:p>
        </w:tc>
      </w:tr>
      <w:tr>
        <w:trPr>
          <w:trHeight w:val="188"/>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11, 2018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54.6357</w:t>
            </w:r>
          </w:p>
        </w:tc>
        <w:tc>
          <w:tcPr>
            <w:tcW w:w="240" w:type="dxa"/>
            <w:vAlign w:val="bottom"/>
          </w:tcPr>
          <w:p>
            <w:pPr>
              <w:spacing w:after="0"/>
              <w:rPr>
                <w:sz w:val="16"/>
                <w:szCs w:val="16"/>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11, 2028</w:t>
            </w:r>
          </w:p>
        </w:tc>
      </w:tr>
      <w:tr>
        <w:trPr>
          <w:trHeight w:val="188"/>
        </w:trPr>
        <w:tc>
          <w:tcPr>
            <w:tcW w:w="1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10, 2019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97.4993</w:t>
            </w:r>
          </w:p>
        </w:tc>
        <w:tc>
          <w:tcPr>
            <w:tcW w:w="240" w:type="dxa"/>
            <w:vAlign w:val="bottom"/>
            <w:shd w:val="clear" w:color="auto" w:fill="CFF0FC"/>
          </w:tcPr>
          <w:p>
            <w:pPr>
              <w:spacing w:after="0"/>
              <w:rPr>
                <w:sz w:val="16"/>
                <w:szCs w:val="16"/>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10, 2029</w:t>
            </w:r>
          </w:p>
        </w:tc>
      </w:tr>
      <w:tr>
        <w:trPr>
          <w:trHeight w:val="188"/>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10, 2020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101,145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21,072</w:t>
            </w:r>
          </w:p>
        </w:tc>
        <w:tc>
          <w:tcPr>
            <w:tcW w:w="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145.5045</w:t>
            </w:r>
          </w:p>
        </w:tc>
        <w:tc>
          <w:tcPr>
            <w:tcW w:w="240" w:type="dxa"/>
            <w:vAlign w:val="bottom"/>
          </w:tcPr>
          <w:p>
            <w:pPr>
              <w:spacing w:after="0"/>
              <w:rPr>
                <w:sz w:val="16"/>
                <w:szCs w:val="16"/>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10, 2030</w:t>
            </w:r>
          </w:p>
        </w:tc>
      </w:tr>
      <w:tr>
        <w:trPr>
          <w:trHeight w:val="188"/>
        </w:trPr>
        <w:tc>
          <w:tcPr>
            <w:tcW w:w="1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9, 2021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69,466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31,839</w:t>
            </w:r>
          </w:p>
        </w:tc>
        <w:tc>
          <w:tcPr>
            <w:tcW w:w="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123.4637</w:t>
            </w:r>
          </w:p>
        </w:tc>
        <w:tc>
          <w:tcPr>
            <w:tcW w:w="240" w:type="dxa"/>
            <w:vAlign w:val="bottom"/>
            <w:shd w:val="clear" w:color="auto" w:fill="CFF0FC"/>
          </w:tcPr>
          <w:p>
            <w:pPr>
              <w:spacing w:after="0"/>
              <w:rPr>
                <w:sz w:val="16"/>
                <w:szCs w:val="16"/>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9, 2031</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Program</w:t>
      </w:r>
    </w:p>
    <w:p>
      <w:pPr>
        <w:spacing w:after="0" w:line="1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December 2021, we implemented a Restricted Stock Units program. Under this program, Restricted Stock Units (“RSUs”) may be granted to members of the senior management team, non-executive directors and other employees (“RSU Participants”) employed by the Company or another company within the Company’s group. Our board of directors may also, at its sole discretion, decide to grant RSUs to consultants or members of our board of directors who are then also deemed RSU Participants.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One RSU represents a right for the RSU Participant to receive one Ascendis Pharma A/S American Depositary Share (“ADS”) upon vesting. One Ascendis Pharma A/S ADS represents one (1) ordinary share in our company with a nominal value of DKK 1.00. ADSs underlying Restricted Stock Units are treasury shares that have been repurchased in the market and, upon vesting, our company may at its sole discretion choose to make a cash settlement instead of delivering ADSs.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47" w:name="page148"/>
    <w:bookmarkEnd w:id="147"/>
    <w:p>
      <w:pPr>
        <w:spacing w:after="0" w:line="280"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RSUs and may at its discretion and on an individual basis decide to deviate from the vesting principles and/or the vesting conditions as set forth in our RSU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are issued and granted to the RSU Participant free of charge.</w:t>
      </w:r>
    </w:p>
    <w:p>
      <w:pPr>
        <w:spacing w:after="0" w:line="22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It is a condition for vesting that the RSU Participant is still either employed or retained as a consultant within our Company or another company within our Company’s group or appointed as a member of the board of directors on the vesting date. Subject to earlier vesting upon the occurrence of certain exit events, for each award of RSUs, 1/3 of such RSUs will vest on each anniversary of the date of grant, subject to continued service and, in the case of the RSUs granted to our chief executive officer, subject to the achievement of a performance condition as determined by our board of directors.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Program</w:t>
      </w:r>
    </w:p>
    <w:p>
      <w:pPr>
        <w:spacing w:after="0" w:line="12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February 2023, we implemented a Performance Stock Units program. Under this program, Performance Stock Units (“PSUs”) may be granted to members of the senior management team, non-executive directors and other employees (“PSU Participants”) employed by the Company or another company within the Company’s group. Our board of directors may also, at its sole discretion, decide to grant PSUs to consultants or members of our board of directors, who are then also deemed PSU Participants.</w:t>
      </w:r>
    </w:p>
    <w:p>
      <w:pPr>
        <w:spacing w:after="0" w:line="18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One PSU represents a right for the PSU Participant to receive one Ascendis Pharma A/S ADS upon vesting. One ADS represents one (1) ordinary share in our company with a nominal value of DKK 1.00. ADSs underlying PSUs are treasury shares that have been repurchased in the market and, upon vesting, our company may at its sole discretion choose to make a cash settlement instead of delivering ADSs.</w:t>
      </w:r>
    </w:p>
    <w:p>
      <w:pPr>
        <w:spacing w:after="0" w:line="17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PSUs and may at its discretion and on an individual basis decide to deviate from the vesting principles and/or the vesting conditions as set forth in the company’s PSU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are issued and granted to the PSU Participant free of charge.</w:t>
      </w:r>
    </w:p>
    <w:p>
      <w:pPr>
        <w:spacing w:after="0" w:line="22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It is a condition for vesting that the PSU Participant is still either employed or retained as a consultant within our Company or another company within our Company’s group or appointed as a member of the board of directors on the vesting date. Subject to earlier vesting upon the occurrence of certain exit events, for each award of PSUs, 1/3 of such PSUs will vest on each anniversary of the date of grant, subject to continued service and the achievement of performance conditions as determined by our board of directors, provided that no more than 10% of each tranche may be directly attributable to accomplishment of financial results achieved in the financial year prior to the vesting date.</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All PSUs and any rights or payments in respect thereto will be subject to recoupment by the Company to the extent required to comply with applicable law or any policy of the Company providing for the reimbursement of incentive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Indemnification</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third-parties.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48" w:name="page149"/>
    <w:bookmarkEnd w:id="148"/>
    <w:p>
      <w:pPr>
        <w:ind w:right="20"/>
        <w:spacing w:after="0" w:line="257" w:lineRule="auto"/>
        <w:rPr>
          <w:sz w:val="20"/>
          <w:szCs w:val="20"/>
          <w:color w:val="auto"/>
        </w:rPr>
      </w:pPr>
      <w:r>
        <w:rPr>
          <w:rFonts w:ascii="Times New Roman" w:cs="Times New Roman" w:eastAsia="Times New Roman" w:hAnsi="Times New Roman"/>
          <w:sz w:val="18"/>
          <w:szCs w:val="18"/>
          <w:color w:val="auto"/>
        </w:rPr>
        <w:t>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223"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w:t>
      </w:r>
    </w:p>
    <w:p>
      <w:pPr>
        <w:spacing w:after="0" w:line="279"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 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general meeting of shareholders must elect no fewer than three and no more than ten members to our board of directors. The board of directors is classified into two classes as nearly equal in number as possible with respect to the duration of the term in which they severally hold office. Such classes consist of one class of directors (“Class I”) who were elected at the annual general meeting held in 2023 for a term expiring at the annual general meeting to be held 2025; and a second class of directors (“Class II”) who were elected at the annual general meeting held in 2022 for a term expiring at the annual general meeting to be held in 2024. The shareholders shall increase or decrease the number of directors,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w:t>
      </w:r>
    </w:p>
    <w:p>
      <w:pPr>
        <w:spacing w:after="0" w:line="185"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Board members may be dismissed at any time at a general meeting of shareholders. A resolution by the general meeting of shareholders to appoint or dismiss board members requires a simple majority of the votes cast and there is no requirement for a specific quorum.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49" w:name="page150"/>
    <w:bookmarkEnd w:id="149"/>
    <w:p>
      <w:pPr>
        <w:ind w:right="120"/>
        <w:spacing w:after="0" w:line="259" w:lineRule="auto"/>
        <w:rPr>
          <w:sz w:val="20"/>
          <w:szCs w:val="20"/>
          <w:color w:val="auto"/>
        </w:rPr>
      </w:pPr>
      <w:r>
        <w:rPr>
          <w:rFonts w:ascii="Times New Roman" w:cs="Times New Roman" w:eastAsia="Times New Roman" w:hAnsi="Times New Roman"/>
          <w:sz w:val="18"/>
          <w:szCs w:val="18"/>
          <w:color w:val="auto"/>
        </w:rPr>
        <w:t>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w:t>
      </w:r>
    </w:p>
    <w:p>
      <w:pPr>
        <w:spacing w:after="0" w:line="18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w:t>
      </w:r>
    </w:p>
    <w:p>
      <w:pPr>
        <w:spacing w:after="0" w:line="16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Our board of directors may also adopt resolutions without a meeting, provided that such resolutions are adopted in writing and submitted to all members of our board of directors and provided that no board member objects to adopting resolutions without conducting a meeting.</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5605(b)(2).</w:t>
      </w:r>
    </w:p>
    <w:p>
      <w:pPr>
        <w:spacing w:after="0" w:line="16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Mr. Mikkelsen is a member of our senior management and a member of our board of directors and has an employment agreement that provides for benefits upon termination of employment in certain circumstances. For information about such agreements, see “Item 6 B. Directors, Senior Management and Employees—Compensation—Senior Management Agreements.”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Board</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the directors and considered whether any director has a material relationship with us that could compromise their ability to exercise independent judgement in carrying out the responsibilities of a director. As a result of this review, our board of directors determined that Lisa Bright, Albert Cha, M.D., Ph.D., William Carl Fairey Jr., Lars Holtug, and Siham Imani, representing five of our six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0"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7"/>
          <w:szCs w:val="17"/>
          <w:color w:val="auto"/>
        </w:rPr>
        <w:t>We have an audit committee, a remuneration committee and a nominating and corporate governance committee. We have adopted a charter for each of these committees. Under Danish corporate law, it is not possible to delegate the decision making authority of the entire board of directors to board committees.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Our audit committee consists of Lars Holtug (Chair), Lisa Bright and William Carl Fairey Jr. Each member satisfies the independence requirements of the Nasdaq listing standards, and Lars Holtug qualifies as an “audit committee financial expert,” as defined in Item 16A(b) of Form 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5605(c)(1). Nasdaq Rule 5605(c)(2)</w:t>
      </w:r>
    </w:p>
    <w:p>
      <w:pPr>
        <w:spacing w:after="0" w:line="3" w:lineRule="exact"/>
        <w:rPr>
          <w:sz w:val="20"/>
          <w:szCs w:val="20"/>
          <w:color w:val="auto"/>
        </w:rPr>
      </w:pPr>
    </w:p>
    <w:p>
      <w:pPr>
        <w:ind w:right="20" w:firstLine="8"/>
        <w:spacing w:after="0" w:line="251" w:lineRule="auto"/>
        <w:tabs>
          <w:tab w:leader="none" w:pos="2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three members, all of whom meet the relevant criteria for independence under Nasdaq rules and under Rule 10A-3 of the Exchange Act. Our audit committee is responsible for, among other things:</w:t>
      </w:r>
    </w:p>
    <w:p>
      <w:pPr>
        <w:spacing w:after="0" w:line="82" w:lineRule="exact"/>
        <w:rPr>
          <w:rFonts w:ascii="Times New Roman" w:cs="Times New Roman" w:eastAsia="Times New Roman" w:hAnsi="Times New Roman"/>
          <w:sz w:val="18"/>
          <w:szCs w:val="18"/>
          <w:color w:val="auto"/>
        </w:rPr>
      </w:pPr>
    </w:p>
    <w:p>
      <w:pPr>
        <w:ind w:left="1020" w:right="400" w:hanging="504"/>
        <w:spacing w:after="0" w:line="280"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appointment by the general meeting of shareholders of our independent auditors;</w:t>
      </w:r>
    </w:p>
    <w:p>
      <w:pPr>
        <w:spacing w:after="0" w:line="55" w:lineRule="exact"/>
        <w:rPr>
          <w:rFonts w:ascii="Times New Roman" w:cs="Times New Roman" w:eastAsia="Times New Roman" w:hAnsi="Times New Roman"/>
          <w:sz w:val="18"/>
          <w:szCs w:val="18"/>
          <w:color w:val="auto"/>
        </w:rPr>
      </w:pPr>
    </w:p>
    <w:p>
      <w:pPr>
        <w:ind w:left="1020" w:right="240" w:hanging="504"/>
        <w:spacing w:after="0" w:line="280"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the independent auditors, including making recommendations to the board of directors and resolving disagreements between the executive board and the independent auditors relating to financial reporting;</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independence and quality control procedures of the independent auditors;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material off-balance sheet transactions, arrangements and obligations with the executive board and the independent auditors;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proposed related-party transactions;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consolidated and statutory financial statements with the executive board;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to such other matters as are specifically delegated to our audit committee by our board of directors from time to time.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remuneration committee consists of Albert Cha, M.D., Ph.D. (Chair),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directors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w:t>
      </w:r>
    </w:p>
    <w:p>
      <w:pPr>
        <w:spacing w:after="0" w:line="80" w:lineRule="exact"/>
        <w:rPr>
          <w:sz w:val="20"/>
          <w:szCs w:val="20"/>
          <w:color w:val="auto"/>
        </w:rPr>
      </w:pPr>
    </w:p>
    <w:p>
      <w:pPr>
        <w:ind w:left="1020" w:right="220" w:hanging="504"/>
        <w:spacing w:after="0" w:line="260"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compensation of our executive board and members of our board of directors;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1" w:name="page152"/>
    <w:bookmarkEnd w:id="151"/>
    <w:p>
      <w:pPr>
        <w:ind w:left="1020" w:right="240" w:hanging="504"/>
        <w:spacing w:after="0" w:line="280"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including equity compensation, change-of-control benefits and severance arrangements, of our chief executive officer, chief financial officer and such other members of our executive board as it deems appropriate;</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our board of directors regarding the evaluation of our executive board;</w:t>
      </w:r>
    </w:p>
    <w:p>
      <w:pPr>
        <w:spacing w:after="0" w:line="115" w:lineRule="exact"/>
        <w:rPr>
          <w:rFonts w:ascii="Times New Roman" w:cs="Times New Roman" w:eastAsia="Times New Roman" w:hAnsi="Times New Roman"/>
          <w:sz w:val="18"/>
          <w:szCs w:val="18"/>
          <w:color w:val="auto"/>
        </w:rPr>
      </w:pPr>
    </w:p>
    <w:p>
      <w:pPr>
        <w:ind w:left="1020" w:right="200" w:hanging="504"/>
        <w:spacing w:after="0" w:line="280"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making recommendations to our board of directors with respect to any incentive compensation and equity plans, programs or similar arrangements;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to such other matters as are specifically delegated to our compensation committee by our board of directors from time to time.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Albert Cha, M.D., Ph.D. (Chair), Lisa Bright and Siham Imani.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w:t>
      </w:r>
    </w:p>
    <w:p>
      <w:pPr>
        <w:spacing w:after="0" w:line="75" w:lineRule="exact"/>
        <w:rPr>
          <w:sz w:val="20"/>
          <w:szCs w:val="20"/>
          <w:color w:val="auto"/>
        </w:rPr>
      </w:pPr>
    </w:p>
    <w:p>
      <w:pPr>
        <w:ind w:left="1020" w:right="300" w:hanging="504"/>
        <w:spacing w:after="0" w:line="280" w:lineRule="auto"/>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persons to be nominated for election or re-election to our board of directors at any meeting of the shareholders;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board of director’s annual review of its own performance and the performance of its committees;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preparing and recommending to our board of directors a set of corporate governance guidelines.</w:t>
      </w:r>
    </w:p>
    <w:p>
      <w:pPr>
        <w:spacing w:after="0" w:line="223" w:lineRule="exact"/>
        <w:rPr>
          <w:sz w:val="20"/>
          <w:szCs w:val="20"/>
          <w:color w:val="auto"/>
        </w:rPr>
      </w:pPr>
    </w:p>
    <w:p>
      <w:pPr>
        <w:ind w:right="900"/>
        <w:spacing w:after="0" w:line="280" w:lineRule="auto"/>
        <w:rPr>
          <w:sz w:val="20"/>
          <w:szCs w:val="20"/>
          <w:color w:val="auto"/>
        </w:rPr>
      </w:pPr>
      <w:r>
        <w:rPr>
          <w:rFonts w:ascii="Times New Roman" w:cs="Times New Roman" w:eastAsia="Times New Roman" w:hAnsi="Times New Roman"/>
          <w:sz w:val="18"/>
          <w:szCs w:val="18"/>
          <w:color w:val="auto"/>
        </w:rPr>
        <w:t>For information on the current term of office and the period during which the members of our board of directors, executive board and our senior management have served in office see “Item 6 A. Directors, Senior Management and Employees—Directors and Senior Management.”</w:t>
      </w:r>
    </w:p>
    <w:p>
      <w:pPr>
        <w:spacing w:after="0" w:line="266"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2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The following tables specify number of employees at the end of period, per their main activity function and geographic location for the past three financial years.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2"/>
                <w:szCs w:val="12"/>
                <w:color w:val="auto"/>
              </w:rPr>
            </w:pPr>
          </w:p>
        </w:tc>
        <w:tc>
          <w:tcPr>
            <w:tcW w:w="18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Administration </w:t>
            </w:r>
            <w:r>
              <w:rPr>
                <w:rFonts w:ascii="Times New Roman" w:cs="Times New Roman" w:eastAsia="Times New Roman" w:hAnsi="Times New Roman"/>
                <w:sz w:val="16"/>
                <w:szCs w:val="16"/>
                <w:b w:val="1"/>
                <w:bCs w:val="1"/>
                <w:color w:val="auto"/>
                <w:w w:val="98"/>
                <w:vertAlign w:val="superscript"/>
              </w:rPr>
              <w:t>(1)</w:t>
            </w:r>
          </w:p>
        </w:tc>
        <w:tc>
          <w:tcPr>
            <w:tcW w:w="2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70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3800" w:type="dxa"/>
            <w:vAlign w:val="bottom"/>
            <w:tcBorders>
              <w:top w:val="single" w:sz="8" w:color="CFF0FC"/>
            </w:tcBorders>
          </w:tcPr>
          <w:p>
            <w:pPr>
              <w:spacing w:after="0"/>
              <w:rPr>
                <w:sz w:val="24"/>
                <w:szCs w:val="24"/>
                <w:color w:val="auto"/>
              </w:rPr>
            </w:pPr>
          </w:p>
        </w:tc>
        <w:tc>
          <w:tcPr>
            <w:tcW w:w="1700" w:type="dxa"/>
            <w:vAlign w:val="bottom"/>
            <w:tcBorders>
              <w:top w:val="single" w:sz="8" w:color="CFF0FC"/>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Borders>
              <w:top w:val="single" w:sz="8" w:color="CFF0FC"/>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2"/>
                <w:szCs w:val="12"/>
                <w:color w:val="auto"/>
              </w:rPr>
            </w:pPr>
          </w:p>
        </w:tc>
        <w:tc>
          <w:tcPr>
            <w:tcW w:w="18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Administration </w:t>
            </w:r>
            <w:r>
              <w:rPr>
                <w:rFonts w:ascii="Times New Roman" w:cs="Times New Roman" w:eastAsia="Times New Roman" w:hAnsi="Times New Roman"/>
                <w:sz w:val="16"/>
                <w:szCs w:val="16"/>
                <w:b w:val="1"/>
                <w:bCs w:val="1"/>
                <w:color w:val="auto"/>
                <w:w w:val="98"/>
                <w:vertAlign w:val="superscript"/>
              </w:rPr>
              <w:t>(1)</w:t>
            </w:r>
          </w:p>
        </w:tc>
        <w:tc>
          <w:tcPr>
            <w:tcW w:w="2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70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4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3800" w:type="dxa"/>
            <w:vAlign w:val="bottom"/>
          </w:tcPr>
          <w:p>
            <w:pPr>
              <w:spacing w:after="0"/>
              <w:rPr>
                <w:sz w:val="24"/>
                <w:szCs w:val="24"/>
                <w:color w:val="auto"/>
              </w:rPr>
            </w:pPr>
          </w:p>
        </w:tc>
        <w:tc>
          <w:tcPr>
            <w:tcW w:w="3440" w:type="dxa"/>
            <w:vAlign w:val="bottom"/>
            <w:gridSpan w:val="2"/>
          </w:tcPr>
          <w:p>
            <w:pPr>
              <w:jc w:val="right"/>
              <w:ind w:right="1401"/>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38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-2305685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-2305685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-2305685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-845185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-845185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-845185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7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40" w:type="dxa"/>
            <w:vAlign w:val="bottom"/>
          </w:tcPr>
          <w:p>
            <w:pPr>
              <w:spacing w:after="0"/>
              <w:rPr>
                <w:sz w:val="13"/>
                <w:szCs w:val="13"/>
                <w:color w:val="auto"/>
              </w:rPr>
            </w:pPr>
          </w:p>
        </w:tc>
        <w:tc>
          <w:tcPr>
            <w:tcW w:w="17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13"/>
                <w:szCs w:val="13"/>
                <w:color w:val="auto"/>
              </w:rPr>
            </w:pPr>
          </w:p>
        </w:tc>
        <w:tc>
          <w:tcPr>
            <w:tcW w:w="18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1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6"/>
                <w:szCs w:val="16"/>
                <w:color w:val="auto"/>
              </w:rPr>
            </w:pPr>
          </w:p>
        </w:tc>
        <w:tc>
          <w:tcPr>
            <w:tcW w:w="17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4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General and Administration function includes commercial activities, corporate activities and business development.</w:t>
      </w:r>
    </w:p>
    <w:p>
      <w:pPr>
        <w:spacing w:after="0" w:line="22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2023, the number of employees engaged with research and development increased, primarily due to advancement of our pipeline of endocrinology and oncology, as well as ophthalmology. In addition, the number of employees within selling, general and administration functions has increased due to pre-launch and launch activities, and extension of corporate functions to support those activities.</w:t>
      </w:r>
    </w:p>
    <w:p>
      <w:pPr>
        <w:spacing w:after="0" w:line="175"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None of our employees are represented by a labor union or covered under a collective bargaining agreement. We consider our employee relations to be good.</w:t>
      </w:r>
    </w:p>
    <w:p>
      <w:pPr>
        <w:spacing w:after="0" w:line="266"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2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See “Item 7 A. Major Shareholders and Related Party Transactions—Major Shareholders.” Our employees are eligible to own shares of the company through a warrant incentive plan and a RSU and PSU program. For information on the plans, see “Item 6 B. Directors, Senior Management and Employees —Compensation—Warrant Incentive Program" and “Item 6 B. Directors, Senior Management and Employees—Compensation—RSU Program.”</w:t>
      </w:r>
    </w:p>
    <w:p>
      <w:pPr>
        <w:spacing w:after="0" w:line="263"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shares as of December 31, 2023, by:</w:t>
      </w:r>
    </w:p>
    <w:p>
      <w:pPr>
        <w:spacing w:after="0" w:line="116" w:lineRule="exact"/>
        <w:rPr>
          <w:sz w:val="20"/>
          <w:szCs w:val="20"/>
          <w:color w:val="auto"/>
        </w:rPr>
      </w:pPr>
    </w:p>
    <w:p>
      <w:pPr>
        <w:ind w:left="1020" w:hanging="504"/>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ordinary shares;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board members;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 including members of our executive board.</w:t>
      </w:r>
    </w:p>
    <w:p>
      <w:pPr>
        <w:spacing w:after="0" w:line="2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December 31, 2023, through the exercise of any warrants or other rights. Except as otherwise indicated, and subject to applicable community property laws, the persons named in the table have sole voting and investment power with respect to all shares owned by that person.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53" w:name="page154"/>
    <w:bookmarkEnd w:id="153"/>
    <w:p>
      <w:pPr>
        <w:ind w:right="80"/>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57,707,439 ordinary shares outstanding as of December 31, 2023. Ordinary shares that a person has the right to subscribe for within 60 days of December 31, 2023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December 31, 2023, although such warrants may only be exercised in prescribed exercise periods. A person is considered to beneficially own ordinary shares which are subject to Restricted Stock Units that vest within 60 days of December 31, 2023. Unless otherwise indicated below, the address for each beneficial owner listed is c/o Ascendis Pharma A/S, at Tuborg Boulevard 12, DK-2900 Hellerup, Denmark.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5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and RSU/PSUs to be</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Settled Within</w:t>
            </w:r>
          </w:p>
        </w:tc>
        <w:tc>
          <w:tcPr>
            <w:tcW w:w="22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1520" w:type="dxa"/>
            <w:vAlign w:val="bottom"/>
            <w:gridSpan w:val="3"/>
          </w:tcPr>
          <w:p>
            <w:pPr>
              <w:jc w:val="center"/>
              <w:ind w:right="160"/>
              <w:spacing w:after="0" w:line="148"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86"/>
        </w:trPr>
        <w:tc>
          <w:tcPr>
            <w:tcW w:w="5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6"/>
                <w:szCs w:val="16"/>
                <w:color w:val="auto"/>
              </w:rPr>
            </w:pPr>
          </w:p>
        </w:tc>
        <w:tc>
          <w:tcPr>
            <w:tcW w:w="15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84"/>
        </w:trPr>
        <w:tc>
          <w:tcPr>
            <w:tcW w:w="5020" w:type="dxa"/>
            <w:vAlign w:val="bottom"/>
            <w:tcBorders>
              <w:top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Entities affiliated with RA Capital Management,</w:t>
            </w: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160"/>
              <w:spacing w:after="0" w:line="242" w:lineRule="exact"/>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24"/>
                <w:szCs w:val="24"/>
                <w:color w:val="auto"/>
                <w:vertAlign w:val="superscript"/>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9,967,172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9,967,172</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Entities affiliated with Artisan Partners LP </w:t>
            </w:r>
            <w:r>
              <w:rPr>
                <w:rFonts w:ascii="Times New Roman" w:cs="Times New Roman" w:eastAsia="Times New Roman" w:hAnsi="Times New Roman"/>
                <w:sz w:val="24"/>
                <w:szCs w:val="24"/>
                <w:color w:val="auto"/>
                <w:vertAlign w:val="superscript"/>
              </w:rPr>
              <w:t>(2)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6,920,356</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6,920,356</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24"/>
                <w:szCs w:val="24"/>
                <w:color w:val="auto"/>
                <w:vertAlign w:val="superscript"/>
              </w:rPr>
              <w:t>(3)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5,229,070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5,229,070</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Westfield Capital Management Company, LP </w:t>
            </w:r>
            <w:r>
              <w:rPr>
                <w:rFonts w:ascii="Times New Roman" w:cs="Times New Roman" w:eastAsia="Times New Roman" w:hAnsi="Times New Roman"/>
                <w:sz w:val="24"/>
                <w:szCs w:val="24"/>
                <w:color w:val="auto"/>
                <w:vertAlign w:val="superscript"/>
              </w:rPr>
              <w:t>(4)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4,030,634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4,030,634</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67"/>
        </w:trPr>
        <w:tc>
          <w:tcPr>
            <w:tcW w:w="502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T. Rowe Price Associates, Inc. </w:t>
            </w:r>
            <w:r>
              <w:rPr>
                <w:rFonts w:ascii="Times New Roman" w:cs="Times New Roman" w:eastAsia="Times New Roman" w:hAnsi="Times New Roman"/>
                <w:sz w:val="24"/>
                <w:szCs w:val="24"/>
                <w:color w:val="auto"/>
                <w:vertAlign w:val="superscript"/>
              </w:rPr>
              <w:t>(5)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3,709,841</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3,709,841</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190"/>
        </w:trPr>
        <w:tc>
          <w:tcPr>
            <w:tcW w:w="502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rPr>
              <w:t>Entities affiliated with Janus Henderson Group</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020" w:type="dxa"/>
            <w:vAlign w:val="bottom"/>
            <w:gridSpan w:val="2"/>
          </w:tcPr>
          <w:p>
            <w:pPr>
              <w:ind w:left="160"/>
              <w:spacing w:after="0" w:line="266" w:lineRule="exact"/>
              <w:rPr>
                <w:sz w:val="20"/>
                <w:szCs w:val="20"/>
                <w:color w:val="auto"/>
              </w:rPr>
            </w:pPr>
            <w:r>
              <w:rPr>
                <w:rFonts w:ascii="Times New Roman" w:cs="Times New Roman" w:eastAsia="Times New Roman" w:hAnsi="Times New Roman"/>
                <w:sz w:val="30"/>
                <w:szCs w:val="30"/>
                <w:color w:val="auto"/>
                <w:vertAlign w:val="subscript"/>
              </w:rPr>
              <w:t>plc</w:t>
            </w:r>
            <w:r>
              <w:rPr>
                <w:rFonts w:ascii="Times New Roman" w:cs="Times New Roman" w:eastAsia="Times New Roman" w:hAnsi="Times New Roman"/>
                <w:sz w:val="11"/>
                <w:szCs w:val="11"/>
                <w:color w:val="auto"/>
              </w:rPr>
              <w:t xml:space="preserve"> (6)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3,643,955</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3,643,955</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Avoro Capital Advisors LLC </w:t>
            </w:r>
            <w:r>
              <w:rPr>
                <w:rFonts w:ascii="Times New Roman" w:cs="Times New Roman" w:eastAsia="Times New Roman" w:hAnsi="Times New Roman"/>
                <w:sz w:val="20"/>
                <w:szCs w:val="20"/>
                <w:color w:val="auto"/>
                <w:vertAlign w:val="superscript"/>
              </w:rPr>
              <w:t>(7)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Entities affiliated with Wellington Management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Group LLP </w:t>
            </w:r>
            <w:r>
              <w:rPr>
                <w:rFonts w:ascii="Times New Roman" w:cs="Times New Roman" w:eastAsia="Times New Roman" w:hAnsi="Times New Roman"/>
                <w:sz w:val="20"/>
                <w:szCs w:val="20"/>
                <w:color w:val="auto"/>
                <w:vertAlign w:val="superscript"/>
              </w:rPr>
              <w:t>(8)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3,076,012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3,076,012</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 and Board Members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Jan Møller Mikkelsen </w:t>
            </w:r>
            <w:r>
              <w:rPr>
                <w:rFonts w:ascii="Times New Roman" w:cs="Times New Roman" w:eastAsia="Times New Roman" w:hAnsi="Times New Roman"/>
                <w:sz w:val="24"/>
                <w:szCs w:val="24"/>
                <w:color w:val="auto"/>
                <w:vertAlign w:val="superscript"/>
              </w:rPr>
              <w:t>(9)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423,279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1,034,700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1,457,979</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Flemming Steen Jensen </w:t>
            </w:r>
            <w:r>
              <w:rPr>
                <w:rFonts w:ascii="Times New Roman" w:cs="Times New Roman" w:eastAsia="Times New Roman" w:hAnsi="Times New Roman"/>
                <w:sz w:val="24"/>
                <w:szCs w:val="24"/>
                <w:color w:val="auto"/>
                <w:vertAlign w:val="superscript"/>
              </w:rPr>
              <w:t>(10)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142,870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144,728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Michael Wolff Jensen, L.L.M. </w:t>
            </w:r>
            <w:r>
              <w:rPr>
                <w:rFonts w:ascii="Times New Roman" w:cs="Times New Roman" w:eastAsia="Times New Roman" w:hAnsi="Times New Roman"/>
                <w:sz w:val="24"/>
                <w:szCs w:val="24"/>
                <w:color w:val="auto"/>
                <w:vertAlign w:val="superscript"/>
              </w:rPr>
              <w:t>(11)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127,870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129,801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Camilla Harder Hartvig</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Peter Rasmussen </w:t>
            </w:r>
            <w:r>
              <w:rPr>
                <w:rFonts w:ascii="Times New Roman" w:cs="Times New Roman" w:eastAsia="Times New Roman" w:hAnsi="Times New Roman"/>
                <w:sz w:val="24"/>
                <w:szCs w:val="24"/>
                <w:color w:val="auto"/>
                <w:vertAlign w:val="superscript"/>
              </w:rPr>
              <w:t>(12)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32,049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Stina Singel, M.D, Ph.D. </w:t>
            </w:r>
            <w:r>
              <w:rPr>
                <w:rFonts w:ascii="Times New Roman" w:cs="Times New Roman" w:eastAsia="Times New Roman" w:hAnsi="Times New Roman"/>
                <w:sz w:val="24"/>
                <w:szCs w:val="24"/>
                <w:color w:val="auto"/>
                <w:vertAlign w:val="superscript"/>
              </w:rPr>
              <w:t>(13)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62,755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Scott T. Smith </w:t>
            </w:r>
            <w:r>
              <w:rPr>
                <w:rFonts w:ascii="Times New Roman" w:cs="Times New Roman" w:eastAsia="Times New Roman" w:hAnsi="Times New Roman"/>
                <w:sz w:val="24"/>
                <w:szCs w:val="24"/>
                <w:color w:val="auto"/>
                <w:vertAlign w:val="superscript"/>
              </w:rPr>
              <w:t>(14)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183,450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Lotte Sønderbjerg </w:t>
            </w:r>
            <w:r>
              <w:rPr>
                <w:rFonts w:ascii="Times New Roman" w:cs="Times New Roman" w:eastAsia="Times New Roman" w:hAnsi="Times New Roman"/>
                <w:sz w:val="24"/>
                <w:szCs w:val="24"/>
                <w:color w:val="auto"/>
                <w:vertAlign w:val="superscript"/>
              </w:rPr>
              <w:t>(15)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187,870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189,728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Kennett Sprogøe, Ph.D. </w:t>
            </w:r>
            <w:r>
              <w:rPr>
                <w:rFonts w:ascii="Times New Roman" w:cs="Times New Roman" w:eastAsia="Times New Roman" w:hAnsi="Times New Roman"/>
                <w:sz w:val="24"/>
                <w:szCs w:val="24"/>
                <w:color w:val="auto"/>
                <w:vertAlign w:val="superscript"/>
              </w:rPr>
              <w:t>(16)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123,183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Albert Cha, M.D., Ph.D. </w:t>
            </w:r>
            <w:r>
              <w:rPr>
                <w:rFonts w:ascii="Times New Roman" w:cs="Times New Roman" w:eastAsia="Times New Roman" w:hAnsi="Times New Roman"/>
                <w:sz w:val="24"/>
                <w:szCs w:val="24"/>
                <w:color w:val="auto"/>
                <w:vertAlign w:val="superscript"/>
              </w:rPr>
              <w:t>(17)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Lisa Bright </w:t>
            </w:r>
            <w:r>
              <w:rPr>
                <w:rFonts w:ascii="Times New Roman" w:cs="Times New Roman" w:eastAsia="Times New Roman" w:hAnsi="Times New Roman"/>
                <w:sz w:val="24"/>
                <w:szCs w:val="24"/>
                <w:color w:val="auto"/>
                <w:vertAlign w:val="superscript"/>
              </w:rPr>
              <w:t>(18)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50,078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50,469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Lars Holtug, M.Sc. </w:t>
            </w:r>
            <w:r>
              <w:rPr>
                <w:rFonts w:ascii="Times New Roman" w:cs="Times New Roman" w:eastAsia="Times New Roman" w:hAnsi="Times New Roman"/>
                <w:sz w:val="24"/>
                <w:szCs w:val="24"/>
                <w:color w:val="auto"/>
                <w:vertAlign w:val="superscript"/>
              </w:rPr>
              <w:t>(19)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William Carl Fairey Jr. </w:t>
            </w:r>
            <w:r>
              <w:rPr>
                <w:rFonts w:ascii="Times New Roman" w:cs="Times New Roman" w:eastAsia="Times New Roman" w:hAnsi="Times New Roman"/>
                <w:sz w:val="20"/>
                <w:szCs w:val="20"/>
                <w:color w:val="auto"/>
                <w:vertAlign w:val="superscript"/>
              </w:rPr>
              <w:t>(20)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Siham Imani </w:t>
            </w:r>
            <w:r>
              <w:rPr>
                <w:rFonts w:ascii="Times New Roman" w:cs="Times New Roman" w:eastAsia="Times New Roman" w:hAnsi="Times New Roman"/>
                <w:sz w:val="20"/>
                <w:szCs w:val="20"/>
                <w:color w:val="auto"/>
                <w:vertAlign w:val="superscript"/>
              </w:rPr>
              <w:t>(21)</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-4039870</wp:posOffset>
            </wp:positionV>
            <wp:extent cx="7132955" cy="290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955" cy="29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-3595370</wp:posOffset>
            </wp:positionV>
            <wp:extent cx="7132955" cy="1536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-3288030</wp:posOffset>
            </wp:positionV>
            <wp:extent cx="7132955" cy="1536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-2844165</wp:posOffset>
            </wp:positionV>
            <wp:extent cx="7132955" cy="1536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74" w:lineRule="exact"/>
        <w:rPr>
          <w:sz w:val="20"/>
          <w:szCs w:val="20"/>
          <w:color w:val="auto"/>
        </w:rPr>
      </w:pPr>
    </w:p>
    <w:p>
      <w:pPr>
        <w:ind w:left="240" w:hanging="113"/>
        <w:spacing w:after="0"/>
        <w:tabs>
          <w:tab w:leader="none" w:pos="2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 of the total outstanding ordinary shares.</w:t>
      </w:r>
    </w:p>
    <w:p>
      <w:pPr>
        <w:spacing w:after="0" w:line="125" w:lineRule="exact"/>
        <w:rPr>
          <w:rFonts w:ascii="Times New Roman" w:cs="Times New Roman" w:eastAsia="Times New Roman" w:hAnsi="Times New Roman"/>
          <w:sz w:val="16"/>
          <w:szCs w:val="16"/>
          <w:color w:val="auto"/>
        </w:rPr>
      </w:pPr>
    </w:p>
    <w:p>
      <w:pPr>
        <w:ind w:left="1020" w:right="60" w:hanging="504"/>
        <w:spacing w:after="0" w:line="264" w:lineRule="auto"/>
        <w:tabs>
          <w:tab w:leader="none" w:pos="1020"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9,967,172 ADSs held by RA Capital Healthcare Fund, L.P. (the “RA Fund”) as reported by Amendment No. 13 to Schedule 13G filed with the SEC on April 10, 2023 by RA Capital Management, L.P. (“RA Capital”). RA Capital Healthcare Fund GP, LLC is the general partner of the RA Fund. The general partner of RA Capital is RA Capital Management GP, LLC, of which Peter Kolchinsky and Rajeev Shah are the controlling persons. RA Capital serves as investment adviser for the RA Fund and may be deemed a beneficial owner of ADSs held by the RA Fund. The RA Fund has delegated to RA Capital the sole power to vote and the sole power to dispose of all securities held in the RA Fund’s portfolio. Because the RA Fund has divested voting and investment power over the reported securities it holds and may not revoke that delegation on less than 61 days’ notice, the RA Fund disclaims beneficial ownership of the securities it holds and therefore disclaims any obligation to report ownership of the reported securities. As managers of RA Capital, Dr. Kolchinsky and Mr. Shah may be deemed beneficial owners of the ADSs beneficially owned by RA Capital. The address of the RA Fund, the RA Capital, Dr. Kolchinsky and Mr. Shah is c/o RA Capital Management, L.P., 200 Berkeley Street, 18th Floor, Boston, MA 02116.</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1583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579" w:right="279" w:bottom="1440" w:gutter="0" w:footer="0" w:header="0"/>
        </w:sectPr>
      </w:pPr>
    </w:p>
    <w:bookmarkStart w:id="154" w:name="page155"/>
    <w:bookmarkEnd w:id="154"/>
    <w:p>
      <w:pPr>
        <w:ind w:left="504" w:right="100" w:hanging="504"/>
        <w:spacing w:after="0" w:line="268"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6,920,356 ADSs beneficially owned, or that may be deemed to be beneficially owned, by Artisan Partners Limited Partnership (“APLP”), Artisan Investments GP LLC (“Artisan Investments”), Artisan Partners Holdings LP (“Artisan Holdings”), Artisan Partners Asset Management Inc. (“APAM”), and Artisan Partners Funds, Inc. (“Artisan Funds”) as reported by Amendment No. 3 to Schedule 13G filed on February 10, 2023. Artisan Holdings is the sole limited partner of APLP and the sole member of Artisan Investments; Artisan Investments is the general partner of APLP; APAM is the general partner of Artisan Holdings. APLP, Artisan Investments, Artisan Holdings and APAM have shared voting power over 5,953,869 shares and shared dispositive power over 6,920,356 shares. Artisan Funds has shared voting and dispositive power over 2,874,476 shares. The address of APLP, Artisan Investments, Artisan Holdings, APAM, and Artisan Funds is 875 East Wisconsin Avenue, Suite 800, Milwaukee, WI 53202.</w:t>
      </w:r>
    </w:p>
    <w:p>
      <w:pPr>
        <w:spacing w:after="0" w:line="81" w:lineRule="exact"/>
        <w:rPr>
          <w:rFonts w:ascii="Times New Roman" w:cs="Times New Roman" w:eastAsia="Times New Roman" w:hAnsi="Times New Roman"/>
          <w:sz w:val="16"/>
          <w:szCs w:val="16"/>
          <w:color w:val="auto"/>
        </w:rPr>
      </w:pPr>
    </w:p>
    <w:p>
      <w:pPr>
        <w:ind w:left="504" w:hanging="504"/>
        <w:spacing w:after="0" w:line="268"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5,229,070 ADSs beneficially owned, or that may be deemed to be beneficially owned, by FMR LLC, certain of its affiliates and other companies as reported on Amendment No. 9 to Schedule 13G filed on February 9, 2023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has its principal business office at 245 Summer Street, Boston, MA 02210.</w:t>
      </w:r>
    </w:p>
    <w:p>
      <w:pPr>
        <w:spacing w:after="0" w:line="78" w:lineRule="exact"/>
        <w:rPr>
          <w:rFonts w:ascii="Times New Roman" w:cs="Times New Roman" w:eastAsia="Times New Roman" w:hAnsi="Times New Roman"/>
          <w:sz w:val="16"/>
          <w:szCs w:val="16"/>
          <w:color w:val="auto"/>
        </w:rPr>
      </w:pPr>
    </w:p>
    <w:p>
      <w:pPr>
        <w:jc w:val="both"/>
        <w:ind w:left="504" w:right="60" w:hanging="504"/>
        <w:spacing w:after="0" w:line="280"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4,030,634 ADSs owned of record by clients of Westfield Capital Management Company, L.P. (“Westfield”) in its capacity as investment advisor, as reported by Amendment No. 1 to Schedule 13G filed on February 2, 2024 by Westfield. Westfield's clients have the right to receive, or the power to direct the receipt of, dividends or proceeds from the sale of the shares. The address of Westfield is 1 Financial Center, Boston, MA 02111.</w:t>
      </w:r>
    </w:p>
    <w:p>
      <w:pPr>
        <w:spacing w:after="0" w:line="69" w:lineRule="exact"/>
        <w:rPr>
          <w:rFonts w:ascii="Times New Roman" w:cs="Times New Roman" w:eastAsia="Times New Roman" w:hAnsi="Times New Roman"/>
          <w:sz w:val="16"/>
          <w:szCs w:val="16"/>
          <w:color w:val="auto"/>
        </w:rPr>
      </w:pPr>
    </w:p>
    <w:p>
      <w:pPr>
        <w:ind w:left="504" w:hanging="504"/>
        <w:spacing w:after="0" w:line="280"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3,709,841 ADSs held by T. Rowe Price Associates, Inc. (“Price Associates”) as reported by Amendment No. 5 to Schedule 13G filed on February 14, 2023 by Price Associates. Price Associates may be deemed to have sole power to vote over 1,371,908 shares and sole power to dispose of 3,709,841 shares. The address of Price Associates is 100 E. Pratt Street, Baltimore, Maryland 21202.</w:t>
      </w:r>
    </w:p>
    <w:p>
      <w:pPr>
        <w:spacing w:after="0" w:line="69" w:lineRule="exact"/>
        <w:rPr>
          <w:rFonts w:ascii="Times New Roman" w:cs="Times New Roman" w:eastAsia="Times New Roman" w:hAnsi="Times New Roman"/>
          <w:sz w:val="16"/>
          <w:szCs w:val="16"/>
          <w:color w:val="auto"/>
        </w:rPr>
      </w:pPr>
    </w:p>
    <w:p>
      <w:pPr>
        <w:ind w:left="504" w:right="280" w:hanging="504"/>
        <w:spacing w:after="0" w:line="280"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3,643,955 ADSs beneficially owned, or that may be deemed to be beneficially owned, by Janus Henderson Group plc (“Janus Henderson”) as reported on Amendment No. 2 to Schedule 13G filed on February 10, 2023. The address of Janus Henderson is 201 Bishopsgate, EC2M 3AE, United Kingdom.</w:t>
      </w:r>
    </w:p>
    <w:p>
      <w:pPr>
        <w:spacing w:after="0" w:line="69" w:lineRule="exact"/>
        <w:rPr>
          <w:rFonts w:ascii="Times New Roman" w:cs="Times New Roman" w:eastAsia="Times New Roman" w:hAnsi="Times New Roman"/>
          <w:sz w:val="16"/>
          <w:szCs w:val="16"/>
          <w:color w:val="auto"/>
        </w:rPr>
      </w:pPr>
    </w:p>
    <w:p>
      <w:pPr>
        <w:ind w:left="504" w:right="120" w:hanging="504"/>
        <w:spacing w:after="0" w:line="280"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3,100,000 ADSs held by Avoro Capital Advisors LLC (“Avoro”) as reported by Schedule 13G filed on February 14, 2023 by Avoro and Behzad Aghazadeh (“Dr. Aghazadeh”). Dr. Aghazadeh is the portfolio manager and controlling person of Avoro. The address of Avoro is 110 Greene Street, Suite 800, New York, NY 10012.</w:t>
      </w:r>
    </w:p>
    <w:p>
      <w:pPr>
        <w:spacing w:after="0" w:line="69" w:lineRule="exact"/>
        <w:rPr>
          <w:rFonts w:ascii="Times New Roman" w:cs="Times New Roman" w:eastAsia="Times New Roman" w:hAnsi="Times New Roman"/>
          <w:sz w:val="16"/>
          <w:szCs w:val="16"/>
          <w:color w:val="auto"/>
        </w:rPr>
      </w:pPr>
    </w:p>
    <w:p>
      <w:pPr>
        <w:ind w:left="504" w:right="200" w:hanging="504"/>
        <w:spacing w:after="0" w:line="274"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3,076,012 ADSs beneficially owned, or that may be deemed to be beneficially owned, by Wellington Management Group LLP (“Management Group”), certain of its affiliates and other companies as reported by Amendment No. 2 to Schedule 13G filed on February 6, 2023 by Management Group, Wellington Group Holdings LLP, Wellington Investment Advisors Holdings LLP and Wellington Management Global Holdings, Ltd. The address of the Management Group is 280 Congress Street, Boston, MA 02210.</w:t>
      </w:r>
    </w:p>
    <w:p>
      <w:pPr>
        <w:spacing w:after="0" w:line="74" w:lineRule="exact"/>
        <w:rPr>
          <w:rFonts w:ascii="Times New Roman" w:cs="Times New Roman" w:eastAsia="Times New Roman" w:hAnsi="Times New Roman"/>
          <w:sz w:val="16"/>
          <w:szCs w:val="16"/>
          <w:color w:val="auto"/>
        </w:rPr>
      </w:pPr>
    </w:p>
    <w:p>
      <w:pPr>
        <w:ind w:left="504" w:right="40" w:hanging="504"/>
        <w:spacing w:after="0" w:line="280"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1,034,700 ordinary shares that may be subscribed pursuant to the exercise of warrants within 60 days of December 31, 2023 by Mr. Mikkelsen and (ii) 423,279 ordinary shares and ADSs beneficially owned by Mr. Mikkelsen, a portion of which are owned through an entity controlled by Mr. Mikkelsen,</w:t>
      </w:r>
    </w:p>
    <w:p>
      <w:pPr>
        <w:spacing w:after="0" w:line="69" w:lineRule="exact"/>
        <w:rPr>
          <w:rFonts w:ascii="Times New Roman" w:cs="Times New Roman" w:eastAsia="Times New Roman" w:hAnsi="Times New Roman"/>
          <w:sz w:val="16"/>
          <w:szCs w:val="16"/>
          <w:color w:val="auto"/>
        </w:rPr>
      </w:pPr>
    </w:p>
    <w:p>
      <w:pPr>
        <w:ind w:left="504" w:hanging="504"/>
        <w:spacing w:after="0"/>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142,870 ordinary shares that may be subscribed pursuant to the exercise of warrants within 60 days of December 31, 2023 by Mr. Jensen and</w:t>
      </w:r>
    </w:p>
    <w:p>
      <w:pPr>
        <w:spacing w:after="0" w:line="25" w:lineRule="exact"/>
        <w:rPr>
          <w:rFonts w:ascii="Times New Roman" w:cs="Times New Roman" w:eastAsia="Times New Roman" w:hAnsi="Times New Roman"/>
          <w:sz w:val="16"/>
          <w:szCs w:val="16"/>
          <w:color w:val="auto"/>
        </w:rPr>
      </w:pPr>
    </w:p>
    <w:p>
      <w:pPr>
        <w:ind w:left="744" w:hanging="234"/>
        <w:spacing w:after="0"/>
        <w:tabs>
          <w:tab w:leader="none" w:pos="744"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1,858 ADSs held by Mr. Jensen.</w:t>
      </w:r>
    </w:p>
    <w:p>
      <w:pPr>
        <w:spacing w:after="0" w:line="117" w:lineRule="exact"/>
        <w:rPr>
          <w:rFonts w:ascii="Times New Roman" w:cs="Times New Roman" w:eastAsia="Times New Roman" w:hAnsi="Times New Roman"/>
          <w:sz w:val="16"/>
          <w:szCs w:val="16"/>
          <w:color w:val="auto"/>
        </w:rPr>
      </w:pPr>
    </w:p>
    <w:p>
      <w:pPr>
        <w:ind w:left="504" w:right="120" w:hanging="504"/>
        <w:spacing w:after="0" w:line="280"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127,870 ordinary shares that may be subscribed pursuant to the exercise of warrants within 60 days of December 31, 2023 by Mr. Jensen, (ii) 931 ADSs held by Mr. Jensen and (iii) 1,000 ADSs held by MiWo Invest Aps (“MiWo Invest”). MiWo Invest is a personal investment company wholly-owned by Mr. Jensen.</w:t>
      </w:r>
    </w:p>
    <w:p>
      <w:pPr>
        <w:spacing w:after="0" w:line="69" w:lineRule="exact"/>
        <w:rPr>
          <w:rFonts w:ascii="Times New Roman" w:cs="Times New Roman" w:eastAsia="Times New Roman" w:hAnsi="Times New Roman"/>
          <w:sz w:val="16"/>
          <w:szCs w:val="16"/>
          <w:color w:val="auto"/>
        </w:rPr>
      </w:pPr>
    </w:p>
    <w:p>
      <w:pPr>
        <w:ind w:left="504" w:right="180" w:hanging="504"/>
        <w:spacing w:after="0" w:line="296"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31,658 ordinary shares that may be subscribed pursuant to the exercise of warrants within 60 days of December 31, 2023 by Mr. Rasmussen and (ii) 391 ADSs held by Mr. Rasmussen.</w:t>
      </w:r>
    </w:p>
    <w:p>
      <w:pPr>
        <w:spacing w:after="0" w:line="57" w:lineRule="exact"/>
        <w:rPr>
          <w:rFonts w:ascii="Times New Roman" w:cs="Times New Roman" w:eastAsia="Times New Roman" w:hAnsi="Times New Roman"/>
          <w:sz w:val="16"/>
          <w:szCs w:val="16"/>
          <w:color w:val="auto"/>
        </w:rPr>
      </w:pPr>
    </w:p>
    <w:p>
      <w:pPr>
        <w:ind w:left="504" w:right="20" w:hanging="504"/>
        <w:spacing w:after="0" w:line="296" w:lineRule="auto"/>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60,026 ordinary shares that may be subscribed pursuant to the exercise of warrants within 60 days of December 31, 2023 by Dr. Singel and (ii) 2,729 ADSs held by Dr. Singel.</w:t>
      </w:r>
    </w:p>
    <w:p>
      <w:pPr>
        <w:spacing w:after="0" w:line="57" w:lineRule="exact"/>
        <w:rPr>
          <w:rFonts w:ascii="Times New Roman" w:cs="Times New Roman" w:eastAsia="Times New Roman" w:hAnsi="Times New Roman"/>
          <w:sz w:val="16"/>
          <w:szCs w:val="16"/>
          <w:color w:val="auto"/>
        </w:rPr>
      </w:pPr>
    </w:p>
    <w:p>
      <w:pPr>
        <w:ind w:left="504" w:hanging="504"/>
        <w:spacing w:after="0"/>
        <w:tabs>
          <w:tab w:leader="none" w:pos="50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179,433 ordinary shares that may be subscribed pursuant to the exercise of warrants within 60 days of December 31, 2023 by Mr. Smith and</w:t>
      </w:r>
    </w:p>
    <w:p>
      <w:pPr>
        <w:spacing w:after="0" w:line="25" w:lineRule="exact"/>
        <w:rPr>
          <w:rFonts w:ascii="Times New Roman" w:cs="Times New Roman" w:eastAsia="Times New Roman" w:hAnsi="Times New Roman"/>
          <w:sz w:val="16"/>
          <w:szCs w:val="16"/>
          <w:color w:val="auto"/>
        </w:rPr>
      </w:pPr>
    </w:p>
    <w:p>
      <w:pPr>
        <w:ind w:left="744" w:hanging="234"/>
        <w:spacing w:after="0"/>
        <w:tabs>
          <w:tab w:leader="none" w:pos="744"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4,017 ADSs held by Mr. Smith.</w:t>
      </w:r>
    </w:p>
    <w:p>
      <w:pPr>
        <w:spacing w:after="0" w:line="18"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406400</wp:posOffset>
            </wp:positionV>
            <wp:extent cx="7158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4"/>
          </w:cols>
          <w:pgMar w:left="836" w:top="475" w:right="359" w:bottom="1440" w:gutter="0" w:footer="0" w:header="0"/>
        </w:sectPr>
      </w:pPr>
    </w:p>
    <w:bookmarkStart w:id="155" w:name="page156"/>
    <w:bookmarkEnd w:id="155"/>
    <w:p>
      <w:pPr>
        <w:ind w:left="1020" w:right="20" w:hanging="504"/>
        <w:spacing w:after="0" w:line="296" w:lineRule="auto"/>
        <w:tabs>
          <w:tab w:leader="none" w:pos="10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187,870 ordinary shares that may be subscribed pursuant to the exercise of warrants within 60 days of December 31, 2023 by Ms. Sønderbjerg and (ii) 1,858 ADSs held by Ms. Sønderbjerg.</w:t>
      </w:r>
    </w:p>
    <w:p>
      <w:pPr>
        <w:spacing w:after="0" w:line="57" w:lineRule="exact"/>
        <w:rPr>
          <w:rFonts w:ascii="Times New Roman" w:cs="Times New Roman" w:eastAsia="Times New Roman" w:hAnsi="Times New Roman"/>
          <w:sz w:val="16"/>
          <w:szCs w:val="16"/>
          <w:color w:val="auto"/>
        </w:rPr>
      </w:pPr>
    </w:p>
    <w:p>
      <w:pPr>
        <w:ind w:left="1020" w:right="40" w:hanging="504"/>
        <w:spacing w:after="0" w:line="296" w:lineRule="auto"/>
        <w:tabs>
          <w:tab w:leader="none" w:pos="10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123,183 ordinary shares that may be subscribed pursuant to the exercise of warrants within 60 days of December 31, 2023 by Dr. Sprogøe, (ii) 2,858 ADSs held by Dr. Sprogøe, and (iii) 30 ADSs held by family members of Dr. Sprogøe.</w:t>
      </w:r>
    </w:p>
    <w:p>
      <w:pPr>
        <w:spacing w:after="0" w:line="57" w:lineRule="exact"/>
        <w:rPr>
          <w:rFonts w:ascii="Times New Roman" w:cs="Times New Roman" w:eastAsia="Times New Roman" w:hAnsi="Times New Roman"/>
          <w:sz w:val="16"/>
          <w:szCs w:val="16"/>
          <w:color w:val="auto"/>
        </w:rPr>
      </w:pPr>
    </w:p>
    <w:p>
      <w:pPr>
        <w:ind w:left="1020" w:right="180" w:hanging="504"/>
        <w:spacing w:after="0" w:line="296" w:lineRule="auto"/>
        <w:tabs>
          <w:tab w:leader="none" w:pos="10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17,515 ordinary shares that may be subscribed pursuant to the exercise of warrants within 60 days of December 31, 2023 by Dr. Cha and (ii) 391 ADSs held by Dr. Cha.</w:t>
      </w:r>
    </w:p>
    <w:p>
      <w:pPr>
        <w:spacing w:after="0" w:line="57"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50,078 ordinary shares that may be subscribed pursuant to the exercise of warrants within 60 days of December 31, 2023 by Ms. Bright and</w:t>
      </w:r>
    </w:p>
    <w:p>
      <w:pPr>
        <w:spacing w:after="0" w:line="25" w:lineRule="exact"/>
        <w:rPr>
          <w:rFonts w:ascii="Times New Roman" w:cs="Times New Roman" w:eastAsia="Times New Roman" w:hAnsi="Times New Roman"/>
          <w:sz w:val="16"/>
          <w:szCs w:val="16"/>
          <w:color w:val="auto"/>
        </w:rPr>
      </w:pPr>
    </w:p>
    <w:p>
      <w:pPr>
        <w:ind w:left="1260" w:hanging="234"/>
        <w:spacing w:after="0"/>
        <w:tabs>
          <w:tab w:leader="none" w:pos="126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391 ADSs held by Ms. Bright.</w:t>
      </w:r>
    </w:p>
    <w:p>
      <w:pPr>
        <w:spacing w:after="0" w:line="117"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51,973 ordinary shares that may be subscribed pursuant to the exercise of warrants within 60 days of December 31, 2023 by Mr. Holtug and</w:t>
      </w:r>
    </w:p>
    <w:p>
      <w:pPr>
        <w:spacing w:after="0" w:line="25" w:lineRule="exact"/>
        <w:rPr>
          <w:rFonts w:ascii="Times New Roman" w:cs="Times New Roman" w:eastAsia="Times New Roman" w:hAnsi="Times New Roman"/>
          <w:sz w:val="16"/>
          <w:szCs w:val="16"/>
          <w:color w:val="auto"/>
        </w:rPr>
      </w:pPr>
    </w:p>
    <w:p>
      <w:pPr>
        <w:ind w:left="1260" w:hanging="234"/>
        <w:spacing w:after="0"/>
        <w:tabs>
          <w:tab w:leader="none" w:pos="126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892 ADSs held by Mr. Holtug.</w:t>
      </w:r>
    </w:p>
    <w:p>
      <w:pPr>
        <w:spacing w:after="0" w:line="117"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3,244 ordinary shares that may be subscribed pursuant to the exercise of warrants within 60 days of December 31, 2023 by Mr. Fairey.</w:t>
      </w:r>
    </w:p>
    <w:p>
      <w:pPr>
        <w:spacing w:after="0" w:line="125"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3,244 ordinary shares that may be subscribed pursuant to the exercise of warrants within 60 days of December 31, 2023 by Ms. Imani.</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12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As of December 31, 2023, assuming that all of our ordinary shares represented by ADSs are held by residents of the United States, 99.9% of our outstanding ordinary shares were held in the United States by two holders of record and 0.1% of our outstanding ordinary shares were held outside of the United States. At such date, there were outstanding 57,588,378 ADSs, each representing one of our ordinary shares, and in the aggregate representing</w:t>
      </w:r>
    </w:p>
    <w:p>
      <w:pPr>
        <w:spacing w:after="0" w:line="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99.79% of our outstanding ordinary shares. At such date, there were three holders of record registered with the Bank of New York Mellon, depositary of the ADSs. The actual number of holders is greater than these numbers of record holders and includes beneficial owners whose ADSs are held in street name by brokers and other nominees. This number of holders of record also does not include holders whose shares may be held in trust by other entities.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20" w:lineRule="exact"/>
        <w:rPr>
          <w:sz w:val="20"/>
          <w:szCs w:val="20"/>
          <w:color w:val="auto"/>
        </w:rPr>
      </w:pPr>
    </w:p>
    <w:p>
      <w:pPr>
        <w:ind w:right="780"/>
        <w:spacing w:after="0" w:line="280"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since January 1, 2023 with any of our board members, our senior management, the owners of more than five percent of our share capital, and any other related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Grants of Warrants and RSUs/PSUs</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entered into employment agreements with, and granted RSUs and PSUs to, the members of our senior management, and granted warrants to a new member of our senior management. Further, we have issued RSUs to our members of the board of directors. In addition, we are paying fees for board tenure and board committee tenure to the independent members of our board of directors. See “Item 6 B. Directors, Senior Management and Employees— Compensation” for more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0"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We have entered into indemnification agreements with our board members and members of our senior management. See “Item 6 B. Directors, Senior Management and Employees—Compensation—Insurance and Indemnification” for a description of these indemnification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VISEN Pharmaceuticals</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provided research and development services to VISEN Pharmaceuticals (“VISEN”) under our Rights Agreements which will be reimbursed by VISEN. Further, under our Rights Agreements, clinical supply agreements, purchase agreement and commercial supply agreement, we have provided and agreed to provide product supply to VISEN for use in Greater China. In addition, under our cost sharing and volume commitment agreement with VISEN, we have invoiced VISEN’s share of project costs as stipulated by the contract.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For quantitative details regarding transactions and outstanding balances with VISEN, please refer to Note 12, “Investment in Associate”.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Eyconis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Formation of Eyconis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January 29, 2024, we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 Albert Cha, M.D., Ph.D. the chairman of our board of directors, is a Managing Partner with Frazier Life Sciences.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Eyconis will initially be based in Redwood City, California, and certain employees of Ascendis are expected to join the newly formed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6"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beginning on page F-1.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do not at present plan to pay cash dividends on our ordinary shares. Under Danish law, the distribution of ordinary and extraordinary dividends requires the approval of a company’s shareholders at a company’s general meeting. Under the Danish Companies Act the general meeting may authorize the board of directors to resolve to distribute extraordinary dividends after presentation of a company’s first financial statements. The authorization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292"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22, “Subsequent Events” to the audited consolidated financial statements included elsewhere in this annual report.</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6"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ADS have been listed on The Nasdaq Global Select Market under the symbol “ASND” since January 28, 2015. Prior to that date, there was no public trading market for ADSs or our ordinary shares.</w:t>
      </w:r>
    </w:p>
    <w:p>
      <w:pPr>
        <w:spacing w:after="0" w:line="266"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 have been listed on The Nasdaq Global Select Market under the symbol “ASND” since January 28, 2015.</w:t>
      </w:r>
    </w:p>
    <w:p>
      <w:pPr>
        <w:spacing w:after="0" w:line="327"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6"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right="7520" w:firstLine="8"/>
        <w:spacing w:after="0" w:line="376" w:lineRule="auto"/>
        <w:tabs>
          <w:tab w:leader="none" w:pos="51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 Authorizations to Our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our board of directors is authorized to increase the share capital as follows:</w:t>
      </w:r>
    </w:p>
    <w:p>
      <w:pPr>
        <w:spacing w:after="0" w:line="116" w:lineRule="exact"/>
        <w:rPr>
          <w:sz w:val="20"/>
          <w:szCs w:val="20"/>
          <w:color w:val="auto"/>
        </w:rPr>
      </w:pPr>
    </w:p>
    <w:p>
      <w:pPr>
        <w:ind w:left="1020" w:hanging="504"/>
        <w:spacing w:after="0" w:line="265"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9,000,000 shares with pre-emptive subscription rights for existing shareholders, Capital increases according to this authorization shall be carried out by our board of directors by way of cash contributions. This authorization is valid until May 28, 2024.</w:t>
      </w:r>
    </w:p>
    <w:p>
      <w:pPr>
        <w:spacing w:after="0" w:line="67" w:lineRule="exact"/>
        <w:rPr>
          <w:rFonts w:ascii="Times New Roman" w:cs="Times New Roman" w:eastAsia="Times New Roman" w:hAnsi="Times New Roman"/>
          <w:sz w:val="18"/>
          <w:szCs w:val="18"/>
          <w:color w:val="auto"/>
        </w:rPr>
      </w:pPr>
    </w:p>
    <w:p>
      <w:pPr>
        <w:ind w:left="1020" w:right="40" w:hanging="504"/>
        <w:spacing w:after="0" w:line="259"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at one or more times to increase our share capital by up to nominal DKK 6,125,000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This authorization is valid until May 27, 2026.</w:t>
      </w:r>
    </w:p>
    <w:p>
      <w:pPr>
        <w:spacing w:after="0" w:line="75" w:lineRule="exact"/>
        <w:rPr>
          <w:rFonts w:ascii="Times New Roman" w:cs="Times New Roman" w:eastAsia="Times New Roman" w:hAnsi="Times New Roman"/>
          <w:sz w:val="18"/>
          <w:szCs w:val="18"/>
          <w:color w:val="auto"/>
        </w:rPr>
      </w:pPr>
    </w:p>
    <w:p>
      <w:pPr>
        <w:ind w:left="1020" w:right="20" w:hanging="504"/>
        <w:spacing w:after="0" w:line="256"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578,717 warrants and to increase our share capital by up to 578,717 shares without pre-emptive subscription rights for existing shareholders in connection with the exercise, if any, of said warrants and to determine the terms and conditions thereof. This authorization is valid until May 28, 2025.</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8" w:name="page159"/>
    <w:bookmarkEnd w:id="158"/>
    <w:p>
      <w:pPr>
        <w:ind w:left="1020" w:right="20" w:hanging="504"/>
        <w:spacing w:after="0" w:line="255"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without pre-emptive rights for existing shareholders, authorized to obtain loans against issuance of convertible bonds which confer the right to subscribe for shares in the company. Our board of directors is authorized to increase the share capital by a nominal value of up to DKK 9,000,000 at one or more times by conversion of the convertible bonds. The convertible bonds shall be offered at a subscription price and a conversion price that correspond in aggregate to at least the market price of the shares at the time of the decision of our board of directors to issue the convertible bonds. The loans shall be paid in cash and our board of directors shall determine the terms and conditions for the convertible bonds. This authorization is valid until May 29, 2027.</w:t>
      </w:r>
    </w:p>
    <w:p>
      <w:pPr>
        <w:spacing w:after="0" w:line="79" w:lineRule="exact"/>
        <w:rPr>
          <w:rFonts w:ascii="Times New Roman" w:cs="Times New Roman" w:eastAsia="Times New Roman" w:hAnsi="Times New Roman"/>
          <w:sz w:val="18"/>
          <w:szCs w:val="18"/>
          <w:color w:val="auto"/>
        </w:rPr>
      </w:pPr>
    </w:p>
    <w:p>
      <w:pPr>
        <w:ind w:left="1020" w:hanging="504"/>
        <w:spacing w:after="0" w:line="257"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on one or more occasions authorized to issue 985,504 warrants to members of the executive management and employees, advisors and consultants of the company or our subsidiaries and to increase our share capital by up to 985,504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This authorization is valid until May 29, 2027.</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If our board of directors exercises its authorizations in full, and all warrants and convertible debt instruments are exercised fully (not including already issued warrants and already issued convertible debt instruments), then our share capital will amount to 83,396,660 shares consisting of 83,396,660 shares with a nominal value of DKK 1 each.</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 Register</w:t>
      </w:r>
    </w:p>
    <w:p>
      <w:pPr>
        <w:spacing w:after="0" w:line="11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obligated to maintain an owners’ register (in Danish: </w:t>
      </w:r>
      <w:r>
        <w:rPr>
          <w:rFonts w:ascii="Times New Roman" w:cs="Times New Roman" w:eastAsia="Times New Roman" w:hAnsi="Times New Roman"/>
          <w:sz w:val="18"/>
          <w:szCs w:val="18"/>
          <w:i w:val="1"/>
          <w:iCs w:val="1"/>
          <w:color w:val="auto"/>
        </w:rPr>
        <w:t>ejerbog</w:t>
      </w:r>
      <w:r>
        <w:rPr>
          <w:rFonts w:ascii="Times New Roman" w:cs="Times New Roman" w:eastAsia="Times New Roman" w:hAnsi="Times New Roman"/>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and Danish Corporate Law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articles of association, the following should be emphasized: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Clause</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Provisions Regarding the Board of Directors and the Executive Board</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our articles of association, our board of directors shall be elected by our shareholders at the general meeting and shall be composed of not less than three and no more than ten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2023 for a term expiring at the annual general meeting to be held in 2025; and a second class of directors (“Class II”) who were elected at the annual general meeting held in 2022 for a term expiring at the annual general meeting to be held in 2024. Member of Class II, Rafaèle Tordjman, M.D., Ph.D., resigned from the board of directors with effect as of November 29, 2023.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9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See “Item 10 E. Additional Information—Taxation” for a summary of certain tax consequences in respect of dividends or distributions to holders of our ordinary shares or the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Subscription Rights</w:t>
      </w:r>
    </w:p>
    <w:p>
      <w:pPr>
        <w:spacing w:after="0" w:line="12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83" w:lineRule="exact"/>
        <w:rPr>
          <w:sz w:val="20"/>
          <w:szCs w:val="20"/>
          <w:color w:val="auto"/>
        </w:rPr>
      </w:pPr>
    </w:p>
    <w:p>
      <w:pPr>
        <w:ind w:right="840"/>
        <w:spacing w:after="0" w:line="260" w:lineRule="auto"/>
        <w:rPr>
          <w:sz w:val="20"/>
          <w:szCs w:val="20"/>
          <w:color w:val="auto"/>
        </w:rPr>
      </w:pPr>
      <w:r>
        <w:rPr>
          <w:rFonts w:ascii="Times New Roman" w:cs="Times New Roman" w:eastAsia="Times New Roman" w:hAnsi="Times New Roman"/>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Unless future issuances of new shares and/or pre-emptive rights are registered under the Securities Act or with any authority outside Denmark,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shareholders in jurisdictions outside Denmark may be unable to exercise their pre-emptive subscription rights.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on Liquidation</w:t>
      </w:r>
    </w:p>
    <w:p>
      <w:pPr>
        <w:spacing w:after="0" w:line="12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Holding of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hold shares under the articles of association or Danish law.</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to Capital Calls by Us</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Under our articles of association as well as the Danish Companies Act, our shareholders are not obligated to pay further amounts to us. All our shares are fully-paid.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or similar obligations relating to our ordinary shares.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Requirements</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5%, 10%, 15%, 20%, 25%, 50%, 90% or 100%, or 1/3 or 2/3 are reached or no longer reached. The notification shall be given within two weeks following the date when the limits are reached or are no longer reached.</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notification shall provide information on the date of the acquisition or disposal of the shares, the full name, civil registration (CPR) number, and address of the shareholder or, in the case of an enterprise, registered office and business registration (CVR) number, the number of shares and their nominal value and share classes (if applicable) as well as information about the basis on which the calculation of the holdings has been made. In the event that the shareholder is a non-resident company or citizen of Denmark, the notification shall include documentation, which clearly identifies the owner. The company shall cause the notification to be entered in the owners’ register.</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status of the notification obligations is not fully clarified in relation to ADS holders and an ADS holder may be subject to such obligations.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is the highest authority in all matters, subject to the limitations provided by Danish law and the articles of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in the Greater Copenhagen area not later than the end of May in each year.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61" w:name="page162"/>
    <w:bookmarkEnd w:id="161"/>
    <w:p>
      <w:pPr>
        <w:ind w:right="80"/>
        <w:spacing w:after="0" w:line="280" w:lineRule="auto"/>
        <w:rPr>
          <w:sz w:val="20"/>
          <w:szCs w:val="20"/>
          <w:color w:val="auto"/>
        </w:rPr>
      </w:pPr>
      <w:r>
        <w:rPr>
          <w:rFonts w:ascii="Times New Roman" w:cs="Times New Roman" w:eastAsia="Times New Roman" w:hAnsi="Times New Roman"/>
          <w:sz w:val="18"/>
          <w:szCs w:val="18"/>
          <w:color w:val="auto"/>
        </w:rPr>
        <w:t>At the annual general meeting, the audited annual report is submitted for approval, together with the proposed appropriation of profit/treatment of loss, the election of the board of directors and election of our auditors. In addition, the board of directors reports on our activities during the past year.</w:t>
      </w:r>
    </w:p>
    <w:p>
      <w:pPr>
        <w:spacing w:after="0" w:line="16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7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At the latest, two weeks before a general meeting (inclusive of the day of the general meeting), we shall make the following information and documents available on our website:</w:t>
      </w:r>
    </w:p>
    <w:p>
      <w:pPr>
        <w:spacing w:after="0" w:line="55" w:lineRule="exact"/>
        <w:rPr>
          <w:sz w:val="20"/>
          <w:szCs w:val="20"/>
          <w:color w:val="auto"/>
        </w:rPr>
      </w:pPr>
    </w:p>
    <w:p>
      <w:pPr>
        <w:ind w:left="1020" w:hanging="504"/>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notice,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that shall be presented at the general meeting, which will in case of the annual general meeting include the annual report,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and the complete proposals.</w:t>
      </w:r>
    </w:p>
    <w:p>
      <w:pPr>
        <w:spacing w:after="0" w:line="2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w:t>
      </w:r>
    </w:p>
    <w:p>
      <w:pPr>
        <w:spacing w:after="0" w:line="187"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entitled to directly receive notices or other materials or to attend or vote at general meetings.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Resolutions in General Meetings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0"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i w:val="1"/>
          <w:iCs w:val="1"/>
          <w:color w:val="auto"/>
        </w:rPr>
        <w:t>Squeeze Out</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According to Section 70 of the Danish Companies Act, shares in a company may be redeemed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Danish Rules Intended to Prevent Market Abuse</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abandoned our previous practice.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w:t>
      </w:r>
    </w:p>
    <w:p>
      <w:pPr>
        <w:spacing w:after="0" w:line="120"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the shareholders and to third-parties for acting in violation of the articles of association and Danish law.</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third-parties.</w:t>
      </w:r>
    </w:p>
    <w:p>
      <w:pPr>
        <w:spacing w:after="0" w:line="17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8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Danish Corporate Law and Our Articles of Association and Delaware Corporate Law</w:t>
      </w:r>
    </w:p>
    <w:p>
      <w:pPr>
        <w:spacing w:after="0" w:line="120" w:lineRule="exact"/>
        <w:rPr>
          <w:sz w:val="20"/>
          <w:szCs w:val="20"/>
          <w:color w:val="auto"/>
        </w:rPr>
      </w:pPr>
    </w:p>
    <w:p>
      <w:pPr>
        <w:jc w:val="both"/>
        <w:ind w:right="440"/>
        <w:spacing w:after="0" w:line="256" w:lineRule="auto"/>
        <w:rPr>
          <w:sz w:val="20"/>
          <w:szCs w:val="20"/>
          <w:color w:val="auto"/>
        </w:rPr>
      </w:pPr>
      <w:r>
        <w:rPr>
          <w:rFonts w:ascii="Times New Roman" w:cs="Times New Roman" w:eastAsia="Times New Roman" w:hAnsi="Times New Roman"/>
          <w:sz w:val="18"/>
          <w:szCs w:val="18"/>
          <w:color w:val="auto"/>
        </w:rPr>
        <w:t>The following comparison between Danish corporate law, which applies to us, and Delaware corporate law, the law under which many publicly traded companies in the United States are incorporated, discusses additional matters not otherwise described in this annual report. This summary is subject to Danish law, including the Danish Companies Act, and Delaware corporate law, including the Delaware General Corporation Law.</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Duties of Board Members</w:t>
      </w:r>
    </w:p>
    <w:p>
      <w:pPr>
        <w:spacing w:after="0" w:line="11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Public limited liability companies in Denmark are usually subject to a two-tier governance structure with the board of directors having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responsibility for the overall supervision and strategic management of the company in question and with an executive board/management being responsible for the day-to-day operations.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a Delaware corporation owe fiduciary duties of care and loyalty to the corporation and to its stockholders. Delaware courts have decided that the directors of a Delaware corporation are required to exercise informed business judgement in the performance of their duties. Informed business judgement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Members of Our Board of Directors</w:t>
      </w:r>
    </w:p>
    <w:p>
      <w:pPr>
        <w:spacing w:after="0" w:line="11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members of the board of directors of a limited liability company are generally appointed for an individual term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general meeting, shareholders are entitled at all times to dismiss a board member by a simple majority vote.</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Our company currently employs more than an average of 35 employees and has done so since 2016. Consequently, from 2018, our employees will be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Ascendis Pharma GmbH, and Ascendis Pharma Endocrinology GmbH may only demand representation on our board of directors provided that our general meeting adopts a resolution to that effect.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64" w:name="page165"/>
    <w:bookmarkEnd w:id="164"/>
    <w:p>
      <w:pPr>
        <w:ind w:right="16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 Vacancies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in the event of a vacancy, new board members are elected by the shareholders in a general meeting. Thus, a general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1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that vacancies and newly created directorships may be filled by a majority of the directors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Conflict-of-Interest Transactions</w:t>
      </w:r>
    </w:p>
    <w:p>
      <w:pPr>
        <w:spacing w:after="0" w:line="1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board members may not take part in any matter or decision-making that involves a subject or transaction in relation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member has a conflict of interest with us.</w:t>
      </w:r>
    </w:p>
    <w:p>
      <w:pPr>
        <w:spacing w:after="0" w:line="15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permits transactions involving a Delaware corporation and an interested director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if:</w:t>
      </w:r>
    </w:p>
    <w:p>
      <w:pPr>
        <w:spacing w:after="0" w:line="54" w:lineRule="exact"/>
        <w:rPr>
          <w:sz w:val="20"/>
          <w:szCs w:val="20"/>
          <w:color w:val="auto"/>
        </w:rPr>
      </w:pPr>
    </w:p>
    <w:p>
      <w:pPr>
        <w:ind w:left="1020" w:hanging="504"/>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15" w:lineRule="exact"/>
        <w:rPr>
          <w:rFonts w:ascii="Times New Roman" w:cs="Times New Roman" w:eastAsia="Times New Roman" w:hAnsi="Times New Roman"/>
          <w:sz w:val="18"/>
          <w:szCs w:val="18"/>
          <w:color w:val="auto"/>
        </w:rPr>
      </w:pPr>
    </w:p>
    <w:p>
      <w:pPr>
        <w:ind w:left="1020" w:right="380" w:hanging="504"/>
        <w:spacing w:after="0" w:line="280"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Board Members</w:t>
      </w:r>
    </w:p>
    <w:p>
      <w:pPr>
        <w:spacing w:after="0" w:line="118"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In the event that a board member in a Danish limited liability company is unable to participate in a board meeting, the elected alternate,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Meeting</w:t>
      </w:r>
    </w:p>
    <w:p>
      <w:pPr>
        <w:spacing w:after="0" w:line="11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general meetings in limited liability companies shall be convened by the board of directors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Delaware law, unless otherwise provided in the certificate of incorporation or bylaws, written notice of any meeting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given to each stockholder entitled to vote at the meeting not less than ten nor more than 60 days before the date of the meeting and shall specify the place, date, hour, and purpose or purposes of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Each ordinary share confers the right to cast one vote at the general meeting of shareholders, unless the articles of association provide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of ordinary shares may cast as many votes as it holds shares. Shares that are held by the company or its subsidiaries do not confer the right to vote.</w:t>
      </w:r>
    </w:p>
    <w:p>
      <w:pPr>
        <w:spacing w:after="0" w:line="1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extraordinary general meetings of shareholders will be held whenever required by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appointed auditor.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1"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of stockholders.</w:t>
      </w:r>
    </w:p>
    <w:p>
      <w:pPr>
        <w:spacing w:after="0" w:line="2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permissible for shareholders to take action and pass resolutions by written consent in the event of unanimity;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will normally not be the case in listed companies and for a listed company, this method of adopting resolutions is generally not feasible.</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The concept of appraisal rights does not exist under Danish law, except in connection with statutory redemptions rights according to the Danish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6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or cross-border conversion are, according to Sections 286, 306 and 318 m of the Danish Companies Act, entitled to have their shares redeemed.</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fair value of the stockholder’s shares, in connection with certain mergers and consolidations.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only a company itself can bring a civil action against a third-party; an individual shareholder does not have the right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Danish limited liability companies may not subscribe for newly issued shares in their own capital. Such company may, however, according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7" w:name="page168"/>
    <w:bookmarkEnd w:id="167"/>
    <w:p>
      <w:pPr>
        <w:ind w:right="24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purchase or redeem its own shares unless the capital of the corporation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1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possible to implement limited protective anti-takeover measures. Such provisions may include, among other things,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share classes with different voting rights, (ii) specific requirements to register the shares named in the company’s owners register, and (iii) notification requirements concerning participation in general meetings. The Company has currently not adopted any such provisions.</w:t>
      </w:r>
    </w:p>
    <w:p>
      <w:pPr>
        <w:spacing w:after="0" w:line="17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8" w:lineRule="exact"/>
        <w:rPr>
          <w:sz w:val="20"/>
          <w:szCs w:val="20"/>
          <w:color w:val="auto"/>
        </w:rPr>
      </w:pPr>
    </w:p>
    <w:p>
      <w:pPr>
        <w:ind w:left="1020" w:right="200" w:hanging="504"/>
        <w:spacing w:after="0" w:line="280"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w:t>
      </w:r>
    </w:p>
    <w:p>
      <w:pPr>
        <w:spacing w:after="0" w:line="55"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7" w:lineRule="exact"/>
        <w:rPr>
          <w:rFonts w:ascii="Times New Roman" w:cs="Times New Roman" w:eastAsia="Times New Roman" w:hAnsi="Times New Roman"/>
          <w:sz w:val="18"/>
          <w:szCs w:val="18"/>
          <w:color w:val="auto"/>
        </w:rPr>
      </w:pPr>
    </w:p>
    <w:p>
      <w:pPr>
        <w:ind w:left="1020" w:right="340" w:hanging="504"/>
        <w:spacing w:after="0" w:line="280"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twelve months following its adoption.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1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Section 150 of the Danish Companies Act, a shareholder may request an inspection of the company’s books regarding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7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certain of the corporation’s books and records, for any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during the corporation’s usual hours of business.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shareholders have pre-emptive subscription rights in connection with capital increases that are carried out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8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board of directors may resolve to increase the company’s share capital without pre-emptive subscription rights for existing shareholders pursuant to the authorizations described above under the caption “Authorizations to Our Board of Directors.”</w:t>
      </w:r>
    </w:p>
    <w:p>
      <w:pPr>
        <w:spacing w:after="0" w:line="16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6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such stock unless, and to the extent that, such rights are expressly provided for in the certificate of incorporation.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distribution of ordinary and extraordinary dividends requires the approval of a company’s shareholders at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Under the Danish Companies Act the general meeting may authorize the board of directors to resolve to distribute extraordinary dividends after presentation of a company’s first financial statements. The authorization may be subject to financial and time restrictions. The shareholders may not distribute dividends in excess of the recommendation from the board of directors and may only pay out dividends from the company’s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Delaware corporation may pay dividends out of its surplus (the excess of net assets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11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amendments to the articles of association shall be approved by the general meeting of shareholders with a minimum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69" w:name="page170"/>
    <w:bookmarkEnd w:id="169"/>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Governing Documents</w:t>
      </w:r>
    </w:p>
    <w:p>
      <w:pPr>
        <w:spacing w:after="0" w:line="1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All resolutions made by the general meeting may be adopted by a simple majority of the votes, subject only to the mandatory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8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i w:val="1"/>
          <w:iCs w:val="1"/>
          <w:color w:val="auto"/>
        </w:rPr>
        <w:t>Delaware</w:t>
      </w:r>
      <w:r>
        <w:rPr>
          <w:rFonts w:ascii="Times New Roman" w:cs="Times New Roman" w:eastAsia="Times New Roman" w:hAnsi="Times New Roman"/>
          <w:sz w:val="17"/>
          <w:szCs w:val="17"/>
          <w:color w:val="auto"/>
        </w:rPr>
        <w:t>. Under the Delaware General Corporation Law, a corporation’s certificate of incorporation may be amended only if adopted and declared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263"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2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266"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no laws or regulation in Denmark that restrict the export or import of capital (except for certain investments in certain domains in accordance with applicable resolutions by the United Nations or the European Union), including, but not limited to, foreign exchange controls, or which affect the remittance of dividends, interest or other payments to non-resident holders of our ordinary shares.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0" w:name="page171"/>
    <w:bookmarkEnd w:id="170"/>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Tax Considerations</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p>
    <w:p>
      <w:pPr>
        <w:spacing w:after="0" w:line="7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summary does not cover investors to whom special tax rules apply, and, therefore, may not be relevant, for example, to investors subject to the Danish Tax on Pension Yields 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pension savings), professional investors, certain institutional investors, insurance companies, pension companies, banks, stockbrokers and investors with tax liability on return on pension investments. The summary does not cover taxation of individuals and companies who carry on a business of purchasing and selling shares. The summary only sets out the tax position of the direct owners of the ADSs and further assumes that the direct investors are the beneficial owners of the ADSs and any dividends thereon. Sales are assumed to be sales to a third party.</w:t>
      </w:r>
    </w:p>
    <w:p>
      <w:pPr>
        <w:spacing w:after="0" w:line="18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Potential investors in the ADSs are advised to consult their tax advisors regarding the applicable tax consequences of acquiring, holding and disposing of the ADSs based on their particular circumstances.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Investors who may be affected by the tax laws of other jurisdictions should consult their tax advisors with respect to the tax consequences applicable to their particular circumstances as such consequences may differ significantly from those described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Characterization of the ADSs</w:t>
      </w:r>
    </w:p>
    <w:p>
      <w:pPr>
        <w:spacing w:after="0" w:line="12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It is currently not clear under the Danish tax legislation how listed ADSs issued by Danish resident companies in general are to be treated for Danish tax purposes.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However, we obtained a tax ruling on June 21, 2022, from the Danish Tax Council which confirmed that ADSs issued by us are shares for Danish tax purposes. Based on an analysis of the terms of the Deposit Agreement between 1) the holders of ADSs, 2) Ascendis Pharma A/S and 3) Bank of New York Mellon, the Danish Tax Council found that the voting and economic rights attached to the underlying shares had effectively been transferred to the ADS holders and therefore, the ADSs qualified as shares for Danish tax purposes. The ruling is binding on the Danish tax authorities for 5 years as long as the facts remain as described in the ruling for the duration of the 5-year period and in the absence of a change of law. The ruling further confirmed that the ADSs are to be considered listed shares, as the ADSs are listed on Nasdaq. Accordingly, the remainder of this Danish tax discussion assumes that the ADSs will be treated as listed shares for Danish tax purposes.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Danish Tax Resident Holders of the ADSs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(Individuals)</w:t>
      </w:r>
    </w:p>
    <w:p>
      <w:pPr>
        <w:spacing w:after="0" w:line="118"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auto"/>
        </w:rPr>
        <w:t>For individual investors in 2024, gains from the sale of shares are included in the computation of the annual share income subject to 27% tax on the first DKK 61,000 (for cohabiting spouses, a total of DKK 122,000) and at a rate of 42% on share income exceeding DKK 61,000 (for cohabiting spouses over DKK 122,000). Such amounts are subject to annual adjustment and include all share income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all capital gains and dividends derived by the individual or cohabiting spouses, respectively). The realization principle applies; i.e. the gains or losses are included in the income in the year of disposal.</w:t>
      </w:r>
    </w:p>
    <w:p>
      <w:pPr>
        <w:spacing w:after="0" w:line="16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1" w:name="page172"/>
    <w:bookmarkEnd w:id="171"/>
    <w:p>
      <w:pPr>
        <w:ind w:right="60"/>
        <w:spacing w:after="0" w:line="257" w:lineRule="auto"/>
        <w:rPr>
          <w:sz w:val="20"/>
          <w:szCs w:val="20"/>
          <w:color w:val="auto"/>
        </w:rPr>
      </w:pPr>
      <w:r>
        <w:rPr>
          <w:rFonts w:ascii="Times New Roman" w:cs="Times New Roman" w:eastAsia="Times New Roman" w:hAnsi="Times New Roman"/>
          <w:sz w:val="18"/>
          <w:szCs w:val="18"/>
          <w:color w:val="auto"/>
        </w:rPr>
        <w:t>As the ADSs, for the purpose of this tax description, are considered listed shares for Danish tax purposes, losses may be offset against received dividends and capital gains on listed shares. Unused losses will automatically be offset against a cohabiting spouse’s dividends and capital gains on listed shares. Any unused losses can be carried forward. It is a requirement for offsetting of losses, that the ADS holder (or the ADS holder’s custodian bank) has declared the acquisition of the shares in the tax return for the year of acquisition. Such declaration must specify the identity of the ADS, the number of ADS acquired, the acquisition sum and the date of acquisition.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(Companies)</w:t>
      </w:r>
    </w:p>
    <w:p>
      <w:pPr>
        <w:spacing w:after="0" w:line="11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For the purpose of taxation of sales of shares made by shareholders (Companies),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“Subsidiary Shares” </w:t>
      </w:r>
      <w:r>
        <w:rPr>
          <w:rFonts w:ascii="Times New Roman" w:cs="Times New Roman" w:eastAsia="Times New Roman" w:hAnsi="Times New Roman"/>
          <w:sz w:val="18"/>
          <w:szCs w:val="18"/>
          <w:color w:val="auto"/>
        </w:rPr>
        <w:t>are generally defined as shares owned by a shareholder holding at least 10% of the nominal share capital of the issuing company.</w:t>
      </w:r>
    </w:p>
    <w:p>
      <w:pPr>
        <w:spacing w:after="0" w:line="2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“Group Shares” </w:t>
      </w:r>
      <w:r>
        <w:rPr>
          <w:rFonts w:ascii="Times New Roman" w:cs="Times New Roman" w:eastAsia="Times New Roman" w:hAnsi="Times New Roman"/>
          <w:sz w:val="18"/>
          <w:szCs w:val="18"/>
          <w:color w:val="auto"/>
        </w:rPr>
        <w:t>are generally defined as shares in a company in which the shareholder of the company and the issuing company are subject to Danish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taxation or fulfill the requirements for international joint taxation under Danish law (i.e., the company is controlled by the shareholder).</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“Tax-Exempt Portfolio Shares” </w:t>
      </w:r>
      <w:r>
        <w:rPr>
          <w:rFonts w:ascii="Times New Roman" w:cs="Times New Roman" w:eastAsia="Times New Roman" w:hAnsi="Times New Roman"/>
          <w:sz w:val="18"/>
          <w:szCs w:val="18"/>
          <w:color w:val="auto"/>
        </w:rPr>
        <w:t>are defined as shares not admitted to trading on a regulated market owned by a shareholder holding less than 10%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nominal share capital of the issuing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“Taxable Portfolio Shares” </w:t>
      </w:r>
      <w:r>
        <w:rPr>
          <w:rFonts w:ascii="Times New Roman" w:cs="Times New Roman" w:eastAsia="Times New Roman" w:hAnsi="Times New Roman"/>
          <w:sz w:val="18"/>
          <w:szCs w:val="18"/>
          <w:color w:val="auto"/>
        </w:rPr>
        <w:t>are defined as shares that do not qualify as Subsidiary Shares, Group Shares or Tax-Exempt Portfolio Shares.</w:t>
      </w:r>
    </w:p>
    <w:p>
      <w:pPr>
        <w:spacing w:after="0" w:line="225"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8"/>
          <w:szCs w:val="18"/>
          <w:color w:val="auto"/>
        </w:rPr>
        <w:t>Gains or losses on disposal of Subsidiary Shares and Group Shares and Tax-Exempt Portfolio Shares are not included in the taxable income of the shareholder.</w:t>
      </w:r>
    </w:p>
    <w:p>
      <w:pPr>
        <w:spacing w:after="0" w:line="16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Special rules apply with respect to Subsidiary Shares and Group Shares to prevent exemption through certain holding company structures just as other anti-avoidance rules may apply. These rules will not be described in further detail.</w:t>
      </w:r>
    </w:p>
    <w:p>
      <w:pPr>
        <w:spacing w:after="0" w:line="163"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7"/>
          <w:szCs w:val="17"/>
          <w:color w:val="auto"/>
        </w:rPr>
        <w:t>Capital gains from the sale of Taxable Portfolio Shares are taxable at a rate of 22% irrespective of ownership period. Losses on such shares are generally deductible. Gains and losses on Taxable Portfolio Shares are generally taxable according to the mark-to-market principle (in Danish “lagerprincippet”).</w:t>
      </w:r>
    </w:p>
    <w:p>
      <w:pPr>
        <w:spacing w:after="0" w:line="139"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years.</w:t>
      </w:r>
    </w:p>
    <w:p>
      <w:pPr>
        <w:spacing w:after="0" w:line="183"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A change of status from Subsidiary Shares/Group Shares/Tax-Exempt Portfolio Shares to Taxable Portfolio Shares (or vice versa) is for tax purposes deemed to be a disposal of the shares and a reacquisition of the shares at market value at the time of change of status.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i w:val="1"/>
          <w:iCs w:val="1"/>
          <w:color w:val="auto"/>
        </w:rPr>
        <w:t>Dividends (Individuals)</w:t>
      </w:r>
    </w:p>
    <w:p>
      <w:pPr>
        <w:spacing w:after="0" w:line="118"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Dividends on listed shares are taxed as share income, as described above. All share income must be included when calculating whether the amounts described above are exceeded. Dividends paid to individuals are generally subject to 27% withholding tax.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corporate investors, dividends paid on Subsidiary Shares and Group Shares are tax-exempt irrespective of ownership period.</w:t>
      </w:r>
    </w:p>
    <w:p>
      <w:pPr>
        <w:spacing w:after="0" w:line="2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Dividends paid on Tax-Exempt Portfolio Shares are partly taxable as 70% of the dividends received are included in the taxable income, which is equivalent to an effective taxation of 15.4% (70% of 22%) irrespective of ownership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on Taxable Portfolio Shares are subject to the standard corporation tax rate of 22% irrespective of ownership period.</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actual withholding tax rate is as a starting point 27%, while it can be reduced (0%, 15.4%, 22%) if certain requirements are met. A claim for repayment can be made within two months or the excess tax will offset the corporation income tax for the year. The statute of limitations is three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Shareholders Residing Outside Denmark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issued by Ascendis Pharma A/S are treated as holding listed ordinary shares in the company for Danish tax purposes.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(Individuals and Companies)</w:t>
      </w:r>
    </w:p>
    <w:p>
      <w:pPr>
        <w:spacing w:after="0" w:line="118"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7"/>
          <w:szCs w:val="17"/>
          <w:color w:val="auto"/>
        </w:rPr>
        <w:t>Holders of the ADSs not resident in Denmark are normally not subject to Danish taxation on any gains realized on the sale of ADSs, irrespective of the ownership period, subject to certain anti-avoidance rules seeking to prevent that taxable dividend payments are converted to tax exempt capital gains.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Danish share transfer tax or stamp duties are payable on transfer of ADSs.</w:t>
      </w:r>
    </w:p>
    <w:p>
      <w:pPr>
        <w:spacing w:after="0" w:line="223"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If an investor holds the ADSs in connection with a trade or business conducted from a permanent establishment in Denmark, gains on shares may be included in the taxable income of such activities pursuant to the rules applying to Danish tax residents as described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(Individuals)</w:t>
      </w:r>
    </w:p>
    <w:p>
      <w:pPr>
        <w:spacing w:after="0" w:line="11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Dividends are generally subject to 27% Danish withholding tax. Individuals residing in certain black-listed countries and holding 25% or more of the share capital in the company are subject to 44% withholding tax.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Non-residents of Denmark are not subject to additional Danish income tax with respect to dividends received on shares.</w:t>
      </w:r>
    </w:p>
    <w:p>
      <w:pPr>
        <w:spacing w:after="0" w:line="223"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Holders of ADSs are entitled to apply for a full or partial refund of Danish withholding tax on dividends withheld by the company, in the situations described below:</w:t>
      </w:r>
    </w:p>
    <w:p>
      <w:pPr>
        <w:spacing w:after="0" w:line="1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holders of the ADSs are considered beneficial owners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5" w:right="399" w:bottom="1440" w:gutter="0" w:footer="0" w:header="0"/>
        </w:sectPr>
      </w:pPr>
    </w:p>
    <w:bookmarkStart w:id="173" w:name="page174"/>
    <w:bookmarkEnd w:id="173"/>
    <w:p>
      <w:pPr>
        <w:spacing w:after="0" w:line="265" w:lineRule="auto"/>
        <w:rPr>
          <w:sz w:val="20"/>
          <w:szCs w:val="20"/>
          <w:color w:val="auto"/>
        </w:rPr>
      </w:pPr>
      <w:r>
        <w:rPr>
          <w:rFonts w:ascii="Times New Roman" w:cs="Times New Roman" w:eastAsia="Times New Roman" w:hAnsi="Times New Roman"/>
          <w:sz w:val="18"/>
          <w:szCs w:val="18"/>
          <w:color w:val="auto"/>
        </w:rPr>
        <w:t>For holders of ADSs (as beneficial owners of the dividends on the ordinary shares), if the withholding tax rate applied is higher than the applicable final tax rate (as reduced according to Danish law or an applicable double tax treaty) for the holder of ADSs, a request for a refund of Danish tax in excess hereof can be made in the following situations: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a tax treaty</w:t>
      </w:r>
    </w:p>
    <w:p>
      <w:pPr>
        <w:spacing w:after="0" w:line="11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Switzerland and almost all members of the European Union. The tax treaty between Denmark and the United States generally provides for a 15% tax rate.</w:t>
      </w:r>
    </w:p>
    <w:p>
      <w:pPr>
        <w:spacing w:after="0" w:line="183"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Individuals residing in certain black-listed countries and holding 25% or more of the share capital in the company are not eligible for refund of dividend withholding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Danish tax law</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ADS holder holds less than 10% of the nominal share capital (in the form of ordinary shares in the company and not on the basis of the number of the ADSs issued) of the company and the ADS holder is tax resident in a state which has a tax treaty or an international agreement, convention or other administrative agreement on assistance in tax matters according to which the competent authority in the state of the ADS holder is obligated to exchange information with Denmark, dividends are subject to tax at a rate of 15%. If the ADS holder is tax resident outside the European Union, it is an additional requirement for eligibility for the 15% tax rate that the ADS holder together with related ADS holders holds less than 10% of the nominal share capital of the company.</w:t>
      </w:r>
    </w:p>
    <w:p>
      <w:pPr>
        <w:spacing w:after="0" w:line="18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Note that the reduced tax rate does not affect the withholding rate, which is why the holder must claim a refund as described above in order to benefit from the reduced rate.</w:t>
      </w:r>
    </w:p>
    <w:p>
      <w:pPr>
        <w:spacing w:after="0" w:line="16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Where a non-resident of Denmark holds shares which can be attributed to a permanent establishment in Denmark, dividends are taxable pursuant to the rules applying to Danish tax residents described above.</w:t>
      </w:r>
    </w:p>
    <w:p>
      <w:pPr>
        <w:spacing w:after="0" w:line="163"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Individuals residing in certain black-listed countries and holding 25% or more of the share capital in the company are not eligible for refund of dividend withholding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to companies are generally subject to 27% withholding tax.</w:t>
      </w:r>
    </w:p>
    <w:p>
      <w:pPr>
        <w:spacing w:after="0" w:line="22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Companies residing in certain black-listed countries and holding Subsidiary Shares or Group Shares are not eligible for refund of dividend withholding taxes.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Non-residents of Denmark are not subject to additional income tax with respect to dividends received on shares. Holders of ADSs are entitled to apply for a refund of Danish withholding tax on dividends paid by the company.</w:t>
      </w:r>
    </w:p>
    <w:p>
      <w:pPr>
        <w:spacing w:after="0" w:line="1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holder of the ADSs is considered the beneficial owner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174" w:name="page175"/>
    <w:bookmarkEnd w:id="174"/>
    <w:p>
      <w:pPr>
        <w:spacing w:after="0" w:line="254" w:lineRule="auto"/>
        <w:rPr>
          <w:sz w:val="20"/>
          <w:szCs w:val="20"/>
          <w:color w:val="auto"/>
        </w:rPr>
      </w:pPr>
      <w:r>
        <w:rPr>
          <w:rFonts w:ascii="Times New Roman" w:cs="Times New Roman" w:eastAsia="Times New Roman" w:hAnsi="Times New Roman"/>
          <w:sz w:val="18"/>
          <w:szCs w:val="18"/>
          <w:color w:val="auto"/>
        </w:rPr>
        <w:t>Dividends from Subsidiary Shares are tax exempt provided that the taxation of the dividends is to be waived or reduced in accordance with the Parent-Subsidiary Directive (2011/96/EEC) or in accordance with a tax treaty with the jurisdiction in which the company investor is resident. If Denmark is to reduce taxation of dividends to a foreign company under a tax treaty, Denmark will not—as a matter of domestic law—exercise such right and will in general not impose any tax at all. Further, dividends from Group Shares—not also being Subsidiary Shares—are exempt from Danish tax provided the company investor is a resident of the European Union or the EEA and provided the taxation of dividends should have been waived or reduced in accordance with the Parent-Subsidiary Directive (2011/96/EEC) or in accordance with a tax treaty with the country in which the company investor is resident had the shares been Subsidiary Shares.</w:t>
      </w:r>
    </w:p>
    <w:p>
      <w:pPr>
        <w:spacing w:after="0" w:line="18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Dividends paid on both Tax-Exempt and Taxable Portfolio Shares are generally subject to tax at a rate of 22% irrespective of ownership period. While the actual withholding tax rate is as a starting point 27%, it can be reduced if certain requirements are met. If the withholding tax rate applied is higher than the applicable final tax rate for the ADS holder, a request for a refund of Danish tax in excess hereof can be made by the ADS holder in the following situations: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a tax treaty</w:t>
      </w:r>
    </w:p>
    <w:p>
      <w:pPr>
        <w:spacing w:after="0" w:line="1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and almost all members of the European Union. The tax treaty between Denmark and the United States generally provides for a 15% rate.</w:t>
      </w:r>
    </w:p>
    <w:p>
      <w:pPr>
        <w:spacing w:after="0" w:line="183"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Companies residing in certain black-listed countries and holding Subsidiary Shares or Group Shares are not eligible for refund of dividend withholding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Danish tax law</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ADS holder holds less than 10% of the nominal share capital (in the form of ordinary shares in the company and not on the basis of the number of the ADSs issued) in the company and the ADS holder is resident in a jurisdiction which has a tax treaty or an international agreement, convention or other administrative agreement on assistance in tax according to which the competent authority in the state of the ADS holder is obligated to exchange information with Denmark, dividends are generally subject to a tax rate of 15%. If the ADS holder is tax resident outside the European Union, it is an additional requirement for eligibility for the 15% tax rate that the ADS holder together with related ADS holders holds less than 10% of the nominal share capital of the company. Note that the reduced tax rate does not affect the withholding rate, hence, in this situation the ADS holder must also in this situation claim a refund as described above in order to benefit from the reduced rate.</w:t>
      </w:r>
    </w:p>
    <w:p>
      <w:pPr>
        <w:spacing w:after="0" w:line="18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Where a non-resident company of Denmark holds ADSs which can be attributed to a permanent establishment in Denmark, dividends are taxable pursuant to the rules applying to Danish tax residents described above. Companies residing in certain black-listed countries and holding Subsidiary Shares or Group Shares are not eligible for refund of dividend withholding taxes.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Transfer Tax and Stamp Duties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Danish share transfer tax or stamp duties are payable on transfer of the shares.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w:t>
      </w:r>
    </w:p>
    <w:p>
      <w:pPr>
        <w:spacing w:after="0" w:line="12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under present law of an investment in the ADSs. The effects of any applicable state or local laws, or other U.S. federal tax laws such as estate and gift tax laws, any alternative minimum taxes, or the Medicare contribution tax on net investment income, are not discussed. This summary applies only to investors who hold the ADSs as capital assets (generally, property held for investment) and who have the U.S. dollar as their functional currency for U.S. federal income tax purposes. This discussion is based on the U.S. Internal Revenue Code of 1986, as amended, or the Code, U.S. Treasury regulations promulgated thereunder, or the Treasury Regulations,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w:t>
      </w:r>
    </w:p>
    <w:p>
      <w:pPr>
        <w:spacing w:after="0" w:line="18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The following discussion does not address all U.S. federal income tax consequences relevant to a U.S. Holder’s particular circumstances or to U.S. Holders subject to particular rules, including:</w:t>
      </w:r>
    </w:p>
    <w:p>
      <w:pPr>
        <w:spacing w:after="0" w:line="55" w:lineRule="exact"/>
        <w:rPr>
          <w:sz w:val="20"/>
          <w:szCs w:val="20"/>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5" w:lineRule="exact"/>
        <w:rPr>
          <w:rFonts w:ascii="Times New Roman" w:cs="Times New Roman" w:eastAsia="Times New Roman" w:hAnsi="Times New Roman"/>
          <w:sz w:val="18"/>
          <w:szCs w:val="18"/>
          <w:color w:val="auto"/>
        </w:rPr>
      </w:pPr>
    </w:p>
    <w:p>
      <w:pPr>
        <w:ind w:left="1020" w:right="40" w:hanging="504"/>
        <w:spacing w:after="0" w:line="280"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as part of a hedge, straddle or other risk reduction strategy or as part of a conversion transaction or other integrated investment;</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15" w:lineRule="exact"/>
        <w:rPr>
          <w:rFonts w:ascii="Times New Roman" w:cs="Times New Roman" w:eastAsia="Times New Roman" w:hAnsi="Times New Roman"/>
          <w:sz w:val="18"/>
          <w:szCs w:val="18"/>
          <w:color w:val="auto"/>
        </w:rPr>
      </w:pPr>
    </w:p>
    <w:p>
      <w:pPr>
        <w:ind w:left="1020" w:right="440" w:hanging="504"/>
        <w:spacing w:after="0" w:line="280"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S corporations or other entities or arrangements treated as partnerships or pass-through entities for U.S. federal income tax purposes, and persons that hold ADSs through such entities or arrangements;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“individual retirement accounts” or “Roth IRAs”;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ADSs pursuant to the exercise of any employee share option or otherwise as compensation;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the company’s equity by vote or value;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their ADSs through a permanent establishment or fixed base outside the United States;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ADSs under the constructive sale provisions of the Code.</w:t>
      </w:r>
    </w:p>
    <w:p>
      <w:pPr>
        <w:spacing w:after="0" w:line="32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b w:val="1"/>
          <w:bCs w:val="1"/>
          <w:color w:val="auto"/>
        </w:rPr>
        <w:t>U.S. HOLDERS ARE URGED TO CONSULT THEIR TAX ADVISORS REGARDING THE APPLICATION OF THE U.S. FEDERAL INCOME TAX RULES TO THEIR PARTICULAR CIRCUMSTANCES AS WELL AS THE U.S. FEDERAL GIFT AND ESTATE AND U.S. STATE AND LOCAL AND NON-U.S. TAX CONSEQUENCES TO THEM OF THE PURCHASE, OWNERSHIP AND DISPOSITION OF THE ADSs.</w:t>
      </w:r>
    </w:p>
    <w:p>
      <w:pPr>
        <w:spacing w:after="0" w:line="6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that, for U.S. federal income tax purposes, is or is treated as any of the following:</w:t>
      </w:r>
    </w:p>
    <w:p>
      <w:pPr>
        <w:spacing w:after="0" w:line="55" w:lineRule="exact"/>
        <w:rPr>
          <w:sz w:val="20"/>
          <w:szCs w:val="20"/>
          <w:color w:val="auto"/>
        </w:rPr>
      </w:pPr>
    </w:p>
    <w:p>
      <w:pPr>
        <w:ind w:left="1020" w:hanging="504"/>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5" w:lineRule="exact"/>
        <w:rPr>
          <w:rFonts w:ascii="Times New Roman" w:cs="Times New Roman" w:eastAsia="Times New Roman" w:hAnsi="Times New Roman"/>
          <w:sz w:val="18"/>
          <w:szCs w:val="18"/>
          <w:color w:val="auto"/>
        </w:rPr>
      </w:pPr>
    </w:p>
    <w:p>
      <w:pPr>
        <w:ind w:left="1020" w:right="540" w:hanging="504"/>
        <w:spacing w:after="0" w:line="260" w:lineRule="auto"/>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 any state thereof or the District of Columbia;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76" w:name="page177"/>
    <w:bookmarkEnd w:id="176"/>
    <w:p>
      <w:pPr>
        <w:ind w:left="1020" w:hanging="504"/>
        <w:spacing w:after="0"/>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65" w:lineRule="auto"/>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17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If you are a partner in a partnership (or other entity or arrangement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w:t>
      </w:r>
    </w:p>
    <w:p>
      <w:pPr>
        <w:spacing w:after="0" w:line="17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the ADSs</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Subject to the passive foreign investment company, or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However,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eligible for benefits under the Treaty, or if the ADSs are readily tradable on an established securities market in the United States,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ADSs representing ordinary shares generally are considered for these purposes to be readily tradable on an established securities market in the United States if they are listed on The Nasdaq Global Select Market, as our ADSs currently are. You should consult your tax advisor regarding the availability of these preferential tax rates under your particular circumstances.</w:t>
      </w:r>
    </w:p>
    <w:p>
      <w:pPr>
        <w:spacing w:after="0" w:line="18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As discussed in “Item 10 E.—Taxation—Danish Tax Considerations,” payments of dividends by us may be subject to Danish withholding tax. The rate of withholding tax applicable to U.S. Holders that are eligible for benefits under the Treaty is reduced to a maximum of 15%. For U.S. federal income tax purposes, U.S. Holders will be treated as having received the amount of withheld Danish taxes,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77" w:name="page178"/>
    <w:bookmarkEnd w:id="177"/>
    <w:p>
      <w:pPr>
        <w:spacing w:after="0" w:line="253" w:lineRule="auto"/>
        <w:rPr>
          <w:sz w:val="20"/>
          <w:szCs w:val="20"/>
          <w:color w:val="auto"/>
        </w:rPr>
      </w:pPr>
      <w:r>
        <w:rPr>
          <w:rFonts w:ascii="Times New Roman" w:cs="Times New Roman" w:eastAsia="Times New Roman" w:hAnsi="Times New Roman"/>
          <w:sz w:val="18"/>
          <w:szCs w:val="18"/>
          <w:color w:val="auto"/>
        </w:rPr>
        <w:t>Dividends will generally constitute foreign source income for foreign tax credit limitation purposes. Subject to the discussion of the PFIC rules below, any tax withheld with respect to distributions on the ADSs at the rate applicable to a U.S. Holder may, subject to a number of complex limitations, be claimed as a foreign tax credit against such U.S. Holder’s U.S. federal income tax liability or may be claimed as a deduction for U.S. federal income tax purposes. Any amount withheld in excess of the tax rate applicable to a U.S. Holder generally is not eligible to be claimed as a foreign tax credit, regardless of whether such amount is actually refunded or reclaimed. The limitation on foreign taxes eligible for credit is calculated separately with respect to specific classes of income. For this purpose, dividends distributed by us with respect to the ADSs generally will constitute “passive category income.” The rules with respect to the foreign tax credit are complex and involve the application of rules that depend upon a U.S. Holder’s particular circumstances. Under certain circumstances, applicable U.S. Treasury regulations may restrict the availability of any such credit based on the nature of the tax imposed by the foreign jurisdiction. You are urged to consult your tax advisor regarding the availability of the foreign tax credit under your particular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 of the ADSs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U.S.-source income or loss for foreign tax credit limitation purposes. You should consult your tax advisor regarding the proper treatment of gain or loss in your particular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Under the Code and Treasury Regulations, the determination of PFIC status is fact-specific and generally cannot be made until after the close of the taxable year in question. Based on our market capitalization and the composition of our income, assets and operations, we do not believe we were a PFIC for U.S. federal income tax purposes for our taxable year ended December 31, 2023. However this is a factual determination, and the application of the PFIC rules is subject to uncertainty in several respects, and we cannot assure you we will not be a PFIC for any taxable year. A non-U.S. corporation will be considered a PFIC for any taxable year if either:</w:t>
      </w:r>
    </w:p>
    <w:p>
      <w:pPr>
        <w:spacing w:after="0" w:line="76" w:lineRule="exact"/>
        <w:rPr>
          <w:sz w:val="20"/>
          <w:szCs w:val="20"/>
          <w:color w:val="auto"/>
        </w:rPr>
      </w:pPr>
    </w:p>
    <w:p>
      <w:pPr>
        <w:ind w:left="1020" w:hanging="504"/>
        <w:spacing w:after="0"/>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taxable year is passive income (as defined in the relevant provisions of the Code), or</w:t>
      </w:r>
    </w:p>
    <w:p>
      <w:pPr>
        <w:spacing w:after="0" w:line="115" w:lineRule="exact"/>
        <w:rPr>
          <w:rFonts w:ascii="Times New Roman" w:cs="Times New Roman" w:eastAsia="Times New Roman" w:hAnsi="Times New Roman"/>
          <w:sz w:val="18"/>
          <w:szCs w:val="18"/>
          <w:color w:val="auto"/>
        </w:rPr>
      </w:pPr>
    </w:p>
    <w:p>
      <w:pPr>
        <w:ind w:left="1020" w:right="700" w:hanging="504"/>
        <w:spacing w:after="0" w:line="280" w:lineRule="auto"/>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(generally based on an average of the quarterly values of the assets during such taxable year) is attributable to assets that produce or are held for the production of passive income.</w:t>
      </w:r>
    </w:p>
    <w:p>
      <w:pPr>
        <w:spacing w:after="0" w:line="16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separate determination must be made each taxable year as to whether we are a PFIC (after the close of each such taxable year). Because the value of our assets, including unbooked goodwill,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 For these reasons, we cannot assure you we will not be a PFIC for any taxable year.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78" w:name="page179"/>
    <w:bookmarkEnd w:id="178"/>
    <w:p>
      <w:pPr>
        <w:ind w:right="100"/>
        <w:spacing w:after="0" w:line="255" w:lineRule="auto"/>
        <w:rPr>
          <w:sz w:val="20"/>
          <w:szCs w:val="20"/>
          <w:color w:val="auto"/>
        </w:rPr>
      </w:pPr>
      <w:r>
        <w:rPr>
          <w:rFonts w:ascii="Times New Roman" w:cs="Times New Roman" w:eastAsia="Times New Roman" w:hAnsi="Times New Roman"/>
          <w:sz w:val="18"/>
          <w:szCs w:val="18"/>
          <w:color w:val="auto"/>
        </w:rPr>
        <w:t>If we are a PFIC for any year during which you hold the ADSs, we generally will continue to be treated as a PFIC with respect to you for all succeeding years during which you hold the ADSs, regardless of whether we continue to meet the income or asset tests described above,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76" w:lineRule="exact"/>
        <w:rPr>
          <w:sz w:val="20"/>
          <w:szCs w:val="20"/>
          <w:color w:val="auto"/>
        </w:rPr>
      </w:pPr>
    </w:p>
    <w:p>
      <w:pPr>
        <w:ind w:left="1020" w:hanging="504"/>
        <w:spacing w:after="0"/>
        <w:tabs>
          <w:tab w:leader="none" w:pos="10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ADSs,</w:t>
      </w:r>
    </w:p>
    <w:p>
      <w:pPr>
        <w:spacing w:after="0" w:line="129" w:lineRule="exact"/>
        <w:rPr>
          <w:rFonts w:ascii="Times New Roman" w:cs="Times New Roman" w:eastAsia="Times New Roman" w:hAnsi="Times New Roman"/>
          <w:sz w:val="18"/>
          <w:szCs w:val="18"/>
          <w:color w:val="auto"/>
        </w:rPr>
      </w:pPr>
    </w:p>
    <w:p>
      <w:pPr>
        <w:ind w:left="1020" w:right="140" w:hanging="504"/>
        <w:spacing w:after="0" w:line="280" w:lineRule="auto"/>
        <w:tabs>
          <w:tab w:leader="none" w:pos="10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before the first taxable year in your holding period in which we were a PFIC, will be treated as ordinary income, and</w:t>
      </w:r>
    </w:p>
    <w:p>
      <w:pPr>
        <w:spacing w:after="0" w:line="55" w:lineRule="exact"/>
        <w:rPr>
          <w:rFonts w:ascii="Times New Roman" w:cs="Times New Roman" w:eastAsia="Times New Roman" w:hAnsi="Times New Roman"/>
          <w:sz w:val="18"/>
          <w:szCs w:val="18"/>
          <w:color w:val="auto"/>
        </w:rPr>
      </w:pPr>
    </w:p>
    <w:p>
      <w:pPr>
        <w:ind w:left="1020" w:right="220" w:hanging="504"/>
        <w:spacing w:after="0" w:line="280" w:lineRule="auto"/>
        <w:tabs>
          <w:tab w:leader="none" w:pos="10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income tax rate in effect for that year and the interest charge generally applicable to underpayments of tax will be imposed on the resulting tax attributable to each such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(but not losses) realized on the sale of the ADSs cannot be treated as capital gains, even if you hold the ADSs as capital assets.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we are treated as a PFIC with respect to you for any taxable year, to the extent we own directly or indirectly equity in any non-U.S. corporations that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lower-tier PFICs.</w:t>
      </w:r>
    </w:p>
    <w:p>
      <w:pPr>
        <w:spacing w:after="0" w:line="18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79" w:name="page180"/>
    <w:bookmarkEnd w:id="179"/>
    <w:p>
      <w:pPr>
        <w:ind w:right="20"/>
        <w:spacing w:after="0" w:line="253"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Treasury Regulations. Any trades that have as their principal purpose meeting this requirement will be disregarded. The ADSs are listed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The “mark-to-market” election may not be available with respect to the shares of lower-tier PFICs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w:t>
      </w:r>
    </w:p>
    <w:p>
      <w:pPr>
        <w:spacing w:after="0" w:line="186"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w:t>
      </w:r>
    </w:p>
    <w:p>
      <w:pPr>
        <w:spacing w:after="0" w:line="30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TAX ADVISOR REGARDING THE APPLICATION OF THE PFIC RULES TO YOUR INVESTMENT IN THE ADSs.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Distributions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68" w:lineRule="exact"/>
        <w:rPr>
          <w:sz w:val="20"/>
          <w:szCs w:val="20"/>
          <w:color w:val="auto"/>
        </w:rPr>
      </w:pPr>
    </w:p>
    <w:p>
      <w:pPr>
        <w:ind w:left="1020" w:hanging="504"/>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furnish the holder’s taxpayer identification number, which for an individual is ordinarily his or her social security number;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an incorrect taxpayer identification number;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the holder previously failed to properly report payments of interest or dividends; or</w:t>
      </w:r>
    </w:p>
    <w:p>
      <w:pPr>
        <w:spacing w:after="0" w:line="115" w:lineRule="exact"/>
        <w:rPr>
          <w:rFonts w:ascii="Times New Roman" w:cs="Times New Roman" w:eastAsia="Times New Roman" w:hAnsi="Times New Roman"/>
          <w:sz w:val="18"/>
          <w:szCs w:val="18"/>
          <w:color w:val="auto"/>
        </w:rPr>
      </w:pPr>
    </w:p>
    <w:p>
      <w:pPr>
        <w:ind w:left="1020" w:right="540" w:hanging="504"/>
        <w:spacing w:after="0" w:line="280" w:lineRule="auto"/>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6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w:t>
      </w:r>
    </w:p>
    <w:p>
      <w:pPr>
        <w:spacing w:after="0" w:line="286"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 by Experts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w:t>
      </w:r>
    </w:p>
    <w:p>
      <w:pPr>
        <w:spacing w:after="0" w:line="292"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20" w:lineRule="exact"/>
        <w:rPr>
          <w:sz w:val="20"/>
          <w:szCs w:val="20"/>
          <w:color w:val="auto"/>
        </w:rPr>
      </w:pPr>
    </w:p>
    <w:p>
      <w:pPr>
        <w:ind w:left="5480" w:right="1340" w:hanging="5481"/>
        <w:spacing w:after="0" w:line="280" w:lineRule="auto"/>
        <w:rPr>
          <w:sz w:val="20"/>
          <w:szCs w:val="20"/>
          <w:color w:val="auto"/>
        </w:rPr>
      </w:pPr>
      <w:r>
        <w:rPr>
          <w:rFonts w:ascii="Times New Roman" w:cs="Times New Roman" w:eastAsia="Times New Roman" w:hAnsi="Times New Roman"/>
          <w:sz w:val="18"/>
          <w:szCs w:val="18"/>
          <w:color w:val="auto"/>
        </w:rPr>
        <w:t>The Company intends to submit any annual report provided to security holders in electronic format as an exhibit to a report on Form 6-K. 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83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A. Operating and Financial Review and Prospects—Operating Results—Quantitative and Qualitative Disclosures about Market Risk.”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6"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2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deposit agreement among us, the depositary and you the ADS holders sets out ADS holder rights as well as the rights and obligations of the depositary. A copy of the deposit agreement is incorporated by reference as an exhibit to this annual report.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terms of the deposit agreement, the holders of ADSs will be required to pay the following fees:</w:t>
      </w:r>
    </w:p>
    <w:p>
      <w:pPr>
        <w:sectPr>
          <w:pgSz w:w="11900" w:h="16838" w:orient="portrait"/>
          <w:cols w:equalWidth="0" w:num="1">
            <w:col w:w="11220"/>
          </w:cols>
          <w:pgMar w:left="320" w:top="682"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ordinary shares or ADSs must pay: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170"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ordinary shares and the shares had been deposited for issue of ADSs</w:t>
      </w:r>
    </w:p>
    <w:p>
      <w:pPr>
        <w:spacing w:after="0" w:line="3" w:lineRule="exact"/>
        <w:rPr>
          <w:sz w:val="20"/>
          <w:szCs w:val="20"/>
          <w:color w:val="auto"/>
        </w:rPr>
      </w:pPr>
    </w:p>
    <w:p>
      <w:pPr>
        <w:ind w:left="20" w:right="2460"/>
        <w:spacing w:after="0" w:line="467" w:lineRule="auto"/>
        <w:rPr>
          <w:sz w:val="20"/>
          <w:szCs w:val="20"/>
          <w:color w:val="auto"/>
        </w:rPr>
      </w:pPr>
      <w:r>
        <w:rPr>
          <w:rFonts w:ascii="Times New Roman" w:cs="Times New Roman" w:eastAsia="Times New Roman" w:hAnsi="Times New Roman"/>
          <w:sz w:val="18"/>
          <w:szCs w:val="18"/>
          <w:color w:val="auto"/>
        </w:rPr>
        <w:t>$0.05 (or less) per ADS per calendar year Registration or transfer fees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t>
      </w:r>
    </w:p>
    <w:p>
      <w:pPr>
        <w:spacing w:after="0" w:line="39" w:lineRule="exact"/>
        <w:rPr>
          <w:sz w:val="20"/>
          <w:szCs w:val="20"/>
          <w:color w:val="auto"/>
        </w:rPr>
      </w:pPr>
    </w:p>
    <w:p>
      <w:pPr>
        <w:ind w:left="220" w:right="40" w:hanging="188"/>
        <w:spacing w:after="0" w:line="280" w:lineRule="auto"/>
        <w:tabs>
          <w:tab w:leader="none" w:pos="2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ADSs, including issues resulting from a distribution of ordinary shares or rights or other property</w:t>
      </w:r>
    </w:p>
    <w:p>
      <w:pPr>
        <w:spacing w:after="0" w:line="68" w:lineRule="exact"/>
        <w:rPr>
          <w:rFonts w:ascii="Times New Roman" w:cs="Times New Roman" w:eastAsia="Times New Roman" w:hAnsi="Times New Roman"/>
          <w:sz w:val="18"/>
          <w:szCs w:val="18"/>
          <w:color w:val="auto"/>
        </w:rPr>
      </w:pPr>
    </w:p>
    <w:p>
      <w:pPr>
        <w:ind w:left="220" w:right="300" w:hanging="188"/>
        <w:spacing w:after="0" w:line="280" w:lineRule="auto"/>
        <w:tabs>
          <w:tab w:leader="none" w:pos="2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108" w:lineRule="exact"/>
        <w:rPr>
          <w:rFonts w:ascii="Times New Roman" w:cs="Times New Roman" w:eastAsia="Times New Roman" w:hAnsi="Times New Roman"/>
          <w:sz w:val="18"/>
          <w:szCs w:val="18"/>
          <w:color w:val="auto"/>
        </w:rPr>
      </w:pPr>
    </w:p>
    <w:p>
      <w:pPr>
        <w:ind w:left="220" w:hanging="188"/>
        <w:spacing w:after="0"/>
        <w:tabs>
          <w:tab w:leader="none" w:pos="2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you</w:t>
      </w:r>
    </w:p>
    <w:p>
      <w:pPr>
        <w:spacing w:after="0" w:line="250" w:lineRule="exact"/>
        <w:rPr>
          <w:rFonts w:ascii="Times New Roman" w:cs="Times New Roman" w:eastAsia="Times New Roman" w:hAnsi="Times New Roman"/>
          <w:sz w:val="18"/>
          <w:szCs w:val="18"/>
          <w:color w:val="auto"/>
        </w:rPr>
      </w:pPr>
    </w:p>
    <w:p>
      <w:pPr>
        <w:ind w:left="220" w:right="220" w:hanging="188"/>
        <w:spacing w:after="0" w:line="280" w:lineRule="auto"/>
        <w:tabs>
          <w:tab w:leader="none" w:pos="2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you</w:t>
      </w:r>
    </w:p>
    <w:p>
      <w:pPr>
        <w:spacing w:after="0" w:line="108" w:lineRule="exact"/>
        <w:rPr>
          <w:rFonts w:ascii="Times New Roman" w:cs="Times New Roman" w:eastAsia="Times New Roman" w:hAnsi="Times New Roman"/>
          <w:sz w:val="18"/>
          <w:szCs w:val="18"/>
          <w:color w:val="auto"/>
        </w:rPr>
      </w:pPr>
    </w:p>
    <w:p>
      <w:pPr>
        <w:ind w:left="220" w:hanging="188"/>
        <w:spacing w:after="0"/>
        <w:tabs>
          <w:tab w:leader="none" w:pos="2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services</w:t>
      </w:r>
    </w:p>
    <w:p>
      <w:pPr>
        <w:spacing w:after="0" w:line="169" w:lineRule="exact"/>
        <w:rPr>
          <w:rFonts w:ascii="Times New Roman" w:cs="Times New Roman" w:eastAsia="Times New Roman" w:hAnsi="Times New Roman"/>
          <w:sz w:val="18"/>
          <w:szCs w:val="18"/>
          <w:color w:val="auto"/>
        </w:rPr>
      </w:pPr>
    </w:p>
    <w:p>
      <w:pPr>
        <w:ind w:left="220" w:right="220" w:hanging="188"/>
        <w:spacing w:after="0" w:line="265" w:lineRule="auto"/>
        <w:tabs>
          <w:tab w:leader="none" w:pos="2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ordinary shares on our share register to or from the name of the depositary or its agent when you deposit or withdraw shares</w:t>
      </w:r>
    </w:p>
    <w:p>
      <w:pPr>
        <w:spacing w:after="0" w:line="122" w:lineRule="exact"/>
        <w:rPr>
          <w:sz w:val="20"/>
          <w:szCs w:val="20"/>
          <w:color w:val="auto"/>
        </w:rPr>
      </w:pPr>
    </w:p>
    <w:p>
      <w:pPr>
        <w:sectPr>
          <w:pgSz w:w="11900" w:h="16838" w:orient="portrait"/>
          <w:cols w:equalWidth="0" w:num="2">
            <w:col w:w="5460" w:space="320"/>
            <w:col w:w="5440"/>
          </w:cols>
          <w:pgMar w:left="320" w:top="682"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 or share underlying an ADS, for example, share transfer taxes, stamp duty or withholding taxes</w:t>
      </w:r>
    </w:p>
    <w:p>
      <w:pPr>
        <w:spacing w:after="0" w:line="20" w:lineRule="exact"/>
        <w:rPr>
          <w:sz w:val="20"/>
          <w:szCs w:val="20"/>
          <w:color w:val="auto"/>
        </w:rPr>
      </w:pPr>
      <w:r>
        <w:rPr>
          <w:sz w:val="20"/>
          <w:szCs w:val="20"/>
          <w:color w:val="auto"/>
        </w:rPr>
        <w:br w:type="column"/>
      </w:r>
    </w:p>
    <w:p>
      <w:pPr>
        <w:ind w:left="188" w:hanging="188"/>
        <w:spacing w:after="0" w:line="280" w:lineRule="auto"/>
        <w:tabs>
          <w:tab w:leader="none" w:pos="1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transmissions (when expressly provided in the deposit agreement)</w:t>
      </w:r>
    </w:p>
    <w:p>
      <w:pPr>
        <w:spacing w:after="0" w:line="68"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169"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600" w:lineRule="exact"/>
        <w:rPr>
          <w:sz w:val="20"/>
          <w:szCs w:val="20"/>
          <w:color w:val="auto"/>
        </w:rPr>
      </w:pPr>
    </w:p>
    <w:p>
      <w:pPr>
        <w:sectPr>
          <w:pgSz w:w="11900" w:h="16838" w:orient="portrait"/>
          <w:cols w:equalWidth="0" w:num="2">
            <w:col w:w="5580" w:space="232"/>
            <w:col w:w="5408"/>
          </w:cols>
          <w:pgMar w:left="320" w:top="682" w:right="359" w:bottom="1440" w:gutter="0" w:footer="0" w:header="0"/>
          <w:type w:val="continuous"/>
        </w:sectPr>
      </w:pPr>
    </w:p>
    <w:p>
      <w:pPr>
        <w:ind w:left="20"/>
        <w:spacing w:after="0"/>
        <w:tabs>
          <w:tab w:leader="none" w:pos="5800" w:val="left"/>
        </w:tabs>
        <w:rPr>
          <w:sz w:val="20"/>
          <w:szCs w:val="20"/>
          <w:color w:val="auto"/>
        </w:rPr>
      </w:pPr>
      <w:r>
        <w:rPr>
          <w:rFonts w:ascii="Times New Roman" w:cs="Times New Roman" w:eastAsia="Times New Roman" w:hAnsi="Times New Roman"/>
          <w:sz w:val="18"/>
          <w:szCs w:val="18"/>
          <w:color w:val="auto"/>
        </w:rPr>
        <w:t>Any charges incurred by the depositary or its agents for servicing the</w:t>
      </w:r>
      <w:r>
        <w:rPr>
          <w:sz w:val="20"/>
          <w:szCs w:val="20"/>
          <w:color w:val="auto"/>
        </w:rPr>
        <w:tab/>
      </w:r>
      <w:r>
        <w:rPr>
          <w:rFonts w:ascii="Times New Roman" w:cs="Times New Roman" w:eastAsia="Times New Roman" w:hAnsi="Times New Roman"/>
          <w:sz w:val="18"/>
          <w:szCs w:val="18"/>
          <w:color w:val="auto"/>
        </w:rPr>
        <w:t>•  As necessary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deposited securities</w:t>
      </w:r>
    </w:p>
    <w:p>
      <w:pPr>
        <w:spacing w:after="0" w:line="2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8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type w:val="continuous"/>
        </w:sectPr>
      </w:pPr>
    </w:p>
    <w:bookmarkStart w:id="183" w:name="page184"/>
    <w:bookmarkEnd w:id="1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right="4760" w:firstLine="7"/>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Item 14 Material Modification to the Rights of Security Holders and Use of Proceeds A. Material Modifications to the Rights of Securities Holders </w:t>
      </w:r>
      <w:r>
        <w:rPr>
          <w:rFonts w:ascii="Times New Roman" w:cs="Times New Roman" w:eastAsia="Times New Roman" w:hAnsi="Times New Roman"/>
          <w:sz w:val="18"/>
          <w:szCs w:val="18"/>
          <w:color w:val="auto"/>
        </w:rPr>
        <w:t>Not applicable.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15 Control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Our chief executive officer and principal financial and accounting officers, after evaluating the effectiveness of our disclosure controls and procedures (as defined in Rule 13a-15(e) under the Exchange Act) as of December 31, 2023, have concluded that based on the evaluation of these controls and procedures required by Rule 13a-15(b) of the Exchange Act, our disclosure controls and procedures were effective.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and for its assessment of the effectiveness of internal control over financial reporting.</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w:t>
      </w:r>
    </w:p>
    <w:p>
      <w:pPr>
        <w:spacing w:after="0" w:line="18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2023. This assessment was performed under the directions and supervision of our Chief Executive Officer and our principal financial and accounting officers and based on the criteria established in Internal Control—Integrated Framework (2013) issued by the Committee of Sponsoring Organizations (COSO) of the Treadway Commission.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4" w:name="page185"/>
    <w:bookmarkEnd w:id="184"/>
    <w:p>
      <w:pPr>
        <w:ind w:right="40"/>
        <w:spacing w:after="0" w:line="255" w:lineRule="auto"/>
        <w:rPr>
          <w:sz w:val="20"/>
          <w:szCs w:val="20"/>
          <w:color w:val="auto"/>
        </w:rPr>
      </w:pPr>
      <w:r>
        <w:rPr>
          <w:rFonts w:ascii="Times New Roman" w:cs="Times New Roman" w:eastAsia="Times New Roman" w:hAnsi="Times New Roman"/>
          <w:sz w:val="18"/>
          <w:szCs w:val="18"/>
          <w:color w:val="auto"/>
        </w:rPr>
        <w:t>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120" w:lineRule="exact"/>
        <w:rPr>
          <w:sz w:val="20"/>
          <w:szCs w:val="20"/>
          <w:color w:val="auto"/>
        </w:rPr>
      </w:pPr>
    </w:p>
    <w:p>
      <w:pPr>
        <w:ind w:right="1540"/>
        <w:spacing w:after="0" w:line="311"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2023 has been audited by Deloitte Statsautoriseret Revisionspartnerselskab, an independent registered public accounting firm, as stated in their report, which appears in Item 18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2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the Company has implemented new processes and controls related to royalty funding liabilities, following the financing completed in September 2023. There have been no other changes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Mr. Lars Holtug, an independent director under Nasdaq Rule 5605(a)(2) and Rule 10A-3 of the Exchange Act and a member of the Audit Committee, qualifies as an “audit committee financial expert,” as defined in Item 16A(b) of Form 20-F and as determined by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3"/>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760" w:type="dxa"/>
            <w:vAlign w:val="bottom"/>
          </w:tcPr>
          <w:p>
            <w:pPr>
              <w:spacing w:after="0"/>
              <w:rPr>
                <w:sz w:val="12"/>
                <w:szCs w:val="12"/>
                <w:color w:val="auto"/>
              </w:rPr>
            </w:pPr>
          </w:p>
        </w:tc>
        <w:tc>
          <w:tcPr>
            <w:tcW w:w="1840" w:type="dxa"/>
            <w:vAlign w:val="bottom"/>
            <w:gridSpan w:val="3"/>
          </w:tcPr>
          <w:p>
            <w:pPr>
              <w:ind w:left="88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ind w:left="86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5760" w:type="dxa"/>
            <w:vAlign w:val="bottom"/>
          </w:tcPr>
          <w:p>
            <w:pPr>
              <w:spacing w:after="0"/>
              <w:rPr>
                <w:sz w:val="16"/>
                <w:szCs w:val="16"/>
                <w:color w:val="auto"/>
              </w:rPr>
            </w:pPr>
          </w:p>
        </w:tc>
        <w:tc>
          <w:tcPr>
            <w:tcW w:w="18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6"/>
                <w:szCs w:val="16"/>
                <w:color w:val="auto"/>
              </w:rPr>
            </w:pPr>
          </w:p>
        </w:tc>
        <w:tc>
          <w:tcPr>
            <w:tcW w:w="20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5760" w:type="dxa"/>
            <w:vAlign w:val="bottom"/>
          </w:tcPr>
          <w:p>
            <w:pPr>
              <w:spacing w:after="0"/>
              <w:rPr>
                <w:sz w:val="14"/>
                <w:szCs w:val="14"/>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1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6"/>
              </w:rPr>
              <w:t>739</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3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6"/>
              </w:rPr>
              <w:t>814</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6"/>
              </w:rPr>
              <w:t>122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6"/>
              </w:rPr>
              <w:t>138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38"/>
        </w:trPr>
        <w:tc>
          <w:tcPr>
            <w:tcW w:w="57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auto"/>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b w:val="1"/>
                <w:bCs w:val="1"/>
                <w:color w:val="auto"/>
                <w:w w:val="96"/>
              </w:rPr>
              <w:t>861</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b w:val="1"/>
                <w:bCs w:val="1"/>
                <w:color w:val="auto"/>
                <w:w w:val="96"/>
              </w:rPr>
              <w:t>952</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4399915</wp:posOffset>
            </wp:positionH>
            <wp:positionV relativeFrom="paragraph">
              <wp:posOffset>-182880</wp:posOffset>
            </wp:positionV>
            <wp:extent cx="102235" cy="1962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235" cy="19621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-182880</wp:posOffset>
            </wp:positionV>
            <wp:extent cx="93980" cy="1962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-182880</wp:posOffset>
            </wp:positionV>
            <wp:extent cx="93980" cy="1962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7056755</wp:posOffset>
            </wp:positionH>
            <wp:positionV relativeFrom="paragraph">
              <wp:posOffset>-182880</wp:posOffset>
            </wp:positionV>
            <wp:extent cx="93980" cy="1962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196215"/>
                    </a:xfrm>
                    <a:prstGeom prst="rect">
                      <a:avLst/>
                    </a:prstGeom>
                    <a:noFill/>
                  </pic:spPr>
                </pic:pic>
              </a:graphicData>
            </a:graphic>
          </wp:anchor>
        </w:drawing>
      </w:r>
    </w:p>
    <w:p>
      <w:pPr>
        <w:spacing w:after="0" w:line="17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are defined as the standard audit work that needs to be performed each year to issue opinions on our consolidated financial statements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reports on our local statutory financial statements. Also included are services that can only be provided by our auditor, such as reviews of quarterly financial results, consents and comfort letters and any other audit services required for SEC or other regulatory filings.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5" w:name="page186"/>
    <w:bookmarkEnd w:id="185"/>
    <w:p>
      <w:pPr>
        <w:ind w:right="12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Audit Related Fees </w:t>
      </w:r>
      <w:r>
        <w:rPr>
          <w:rFonts w:ascii="Times New Roman" w:cs="Times New Roman" w:eastAsia="Times New Roman" w:hAnsi="Times New Roman"/>
          <w:sz w:val="18"/>
          <w:szCs w:val="18"/>
          <w:color w:val="auto"/>
        </w:rPr>
        <w:t>include those other assurance services provided by the independent auditor but not restricted to those that can only be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auditor signing the audit report.</w:t>
      </w:r>
    </w:p>
    <w:p>
      <w:pPr>
        <w:spacing w:after="0" w:line="154" w:lineRule="exact"/>
        <w:rPr>
          <w:sz w:val="20"/>
          <w:szCs w:val="20"/>
          <w:color w:val="auto"/>
        </w:rPr>
      </w:pPr>
    </w:p>
    <w:p>
      <w:pPr>
        <w:ind w:right="66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relate to the aggregate fees billed in each of the last two fiscal years for professional services rendered by the principal accountant for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tax advice, and tax planning.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are any additional amounts billed for products and services provided by the principal accountant.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 for Non-Audit Services</w:t>
      </w:r>
    </w:p>
    <w:p>
      <w:pPr>
        <w:spacing w:after="0" w:line="12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Our Audit Committee has adopted a policy pursuant to which we will not engage our auditors to perform any non-audit services unless the audit committee pre-approves the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right="5100"/>
        <w:spacing w:after="0" w:line="410" w:lineRule="auto"/>
        <w:rPr>
          <w:sz w:val="20"/>
          <w:szCs w:val="20"/>
          <w:color w:val="auto"/>
        </w:rPr>
      </w:pPr>
      <w:r>
        <w:rPr>
          <w:rFonts w:ascii="Times New Roman" w:cs="Times New Roman" w:eastAsia="Times New Roman" w:hAnsi="Times New Roman"/>
          <w:sz w:val="18"/>
          <w:szCs w:val="18"/>
          <w:b w:val="1"/>
          <w:bCs w:val="1"/>
          <w:color w:val="auto"/>
        </w:rPr>
        <w:t xml:space="preserve">Item 16E Purchases of Equity Securities by the Issuer and Affiliated Purchasers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 C. Directors, Senior Management and Employees—Board Practices”, the home country practices followed by our Company in lieu of Nasdaq rules are described below:</w:t>
      </w:r>
    </w:p>
    <w:p>
      <w:pPr>
        <w:spacing w:after="0" w:line="76" w:lineRule="exact"/>
        <w:rPr>
          <w:sz w:val="20"/>
          <w:szCs w:val="20"/>
          <w:color w:val="auto"/>
        </w:rPr>
      </w:pPr>
    </w:p>
    <w:p>
      <w:pPr>
        <w:ind w:left="1020" w:right="160" w:hanging="504"/>
        <w:spacing w:after="0" w:line="265"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w:t>
      </w:r>
    </w:p>
    <w:p>
      <w:pPr>
        <w:spacing w:after="0" w:line="67" w:lineRule="exact"/>
        <w:rPr>
          <w:rFonts w:ascii="Times New Roman" w:cs="Times New Roman" w:eastAsia="Times New Roman" w:hAnsi="Times New Roman"/>
          <w:sz w:val="18"/>
          <w:szCs w:val="18"/>
          <w:color w:val="auto"/>
        </w:rPr>
      </w:pPr>
    </w:p>
    <w:p>
      <w:pPr>
        <w:ind w:left="1020" w:right="160" w:hanging="504"/>
        <w:spacing w:after="0" w:line="271" w:lineRule="auto"/>
        <w:tabs>
          <w:tab w:leader="none" w:pos="10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intend to provide shareholders with an agenda and other relevant documents for the general meeting of</w:t>
      </w:r>
    </w:p>
    <w:p>
      <w:pPr>
        <w:spacing w:after="0" w:line="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shareholders.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86" w:name="page187"/>
    <w:bookmarkEnd w:id="186"/>
    <w:p>
      <w:pPr>
        <w:ind w:left="1020" w:right="20" w:hanging="504"/>
        <w:spacing w:after="0" w:line="254"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w:t>
      </w:r>
    </w:p>
    <w:p>
      <w:pPr>
        <w:spacing w:after="0" w:line="77" w:lineRule="exact"/>
        <w:rPr>
          <w:rFonts w:ascii="Times New Roman" w:cs="Times New Roman" w:eastAsia="Times New Roman" w:hAnsi="Times New Roman"/>
          <w:sz w:val="18"/>
          <w:szCs w:val="18"/>
          <w:color w:val="auto"/>
        </w:rPr>
      </w:pPr>
    </w:p>
    <w:p>
      <w:pPr>
        <w:ind w:left="1020" w:right="80" w:hanging="504"/>
        <w:spacing w:after="0" w:line="257"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shareholders’ approval for amendments to our existing warrant incentive program.</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Because we are a foreign private issuer, our members of our board of directors, executive board members and senior management are not subject to short-swing profit and insider trading reporting obligations under section 16 of the U.S. Securities Exchange Act of 1934, as amended, or the Exchange Act. They will, however, be subject to the obligations to report changes in share ownership under section 13 of the Exchange Act and related SEC rules.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right="5300"/>
        <w:spacing w:after="0" w:line="410" w:lineRule="auto"/>
        <w:rPr>
          <w:sz w:val="20"/>
          <w:szCs w:val="20"/>
          <w:color w:val="auto"/>
        </w:rPr>
      </w:pPr>
      <w:r>
        <w:rPr>
          <w:rFonts w:ascii="Times New Roman" w:cs="Times New Roman" w:eastAsia="Times New Roman" w:hAnsi="Times New Roman"/>
          <w:sz w:val="18"/>
          <w:szCs w:val="18"/>
          <w:b w:val="1"/>
          <w:bCs w:val="1"/>
          <w:color w:val="auto"/>
        </w:rPr>
        <w:t xml:space="preserve">Item 16I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senior management, and employees. A copy of the insider trading policy is filed as an exhibit to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safeguard the confidentiality and integrity of the information we collect and process, prevent unauthorized access to our IT systems and data, and ensure availability of our IT systems and data according to defined business requirements. Our cybersecurity risk management program includes a cybersecurity incident response plan.</w:t>
      </w:r>
    </w:p>
    <w:p>
      <w:pPr>
        <w:spacing w:after="0" w:line="175"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Our Information Security Policy for Global IT outlines the organizational responsibilities for maintaining a strong security posture for our IT systems and sets forth the IT security measures and controls that are required to be in place. This policy covers all IT systems that process Company information. Our Security Management team is responsible for ensuring internal security compliance and for managing IT vendors.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187" w:name="page188"/>
    <w:bookmarkEnd w:id="187"/>
    <w:p>
      <w:pPr>
        <w:ind w:right="60"/>
        <w:spacing w:after="0" w:line="259" w:lineRule="auto"/>
        <w:rPr>
          <w:sz w:val="20"/>
          <w:szCs w:val="20"/>
          <w:color w:val="auto"/>
        </w:rPr>
      </w:pPr>
      <w:r>
        <w:rPr>
          <w:rFonts w:ascii="Times New Roman" w:cs="Times New Roman" w:eastAsia="Times New Roman" w:hAnsi="Times New Roman"/>
          <w:sz w:val="18"/>
          <w:szCs w:val="18"/>
          <w:color w:val="auto"/>
        </w:rPr>
        <w:t>We have designed our security program around the International Organization for Standardization International Electrotechnical Commission (ISO/IEC) 27001 standard on a strategic and tactical level, while our operational program is maintained in accordance with the Center for Internet Security (CIS) Critical Security Controls framework. This does not imply that we meet any particular technical standards, specifications, or requirements, only that we use the ISO/IEC and CIS Controls standards as guides to help us identify, assess, and manage cybersecurity risks relevant to our business.</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6" w:lineRule="exact"/>
        <w:rPr>
          <w:sz w:val="20"/>
          <w:szCs w:val="20"/>
          <w:color w:val="auto"/>
        </w:rPr>
      </w:pPr>
    </w:p>
    <w:p>
      <w:pPr>
        <w:ind w:left="1020" w:hanging="504"/>
        <w:spacing w:after="0" w:line="280"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5" w:lineRule="exact"/>
        <w:rPr>
          <w:rFonts w:ascii="Times New Roman" w:cs="Times New Roman" w:eastAsia="Times New Roman" w:hAnsi="Times New Roman"/>
          <w:sz w:val="18"/>
          <w:szCs w:val="18"/>
          <w:color w:val="auto"/>
        </w:rPr>
      </w:pPr>
    </w:p>
    <w:p>
      <w:pPr>
        <w:ind w:left="1020" w:right="280" w:hanging="504"/>
        <w:spacing w:after="0" w:line="280"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process for registration, classification and escalation of any incidents to a named IT Incident Manager and incident response team, which includes relevant members of the IT management team, the compliance team, business process owners and potentially external vendors;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campaigns for Company employees via various channels (intranet, direct mail, screen savers, etc.); and</w:t>
      </w:r>
    </w:p>
    <w:p>
      <w:pPr>
        <w:spacing w:after="0" w:line="115" w:lineRule="exact"/>
        <w:rPr>
          <w:rFonts w:ascii="Times New Roman" w:cs="Times New Roman" w:eastAsia="Times New Roman" w:hAnsi="Times New Roman"/>
          <w:sz w:val="18"/>
          <w:szCs w:val="18"/>
          <w:color w:val="auto"/>
        </w:rPr>
      </w:pPr>
    </w:p>
    <w:p>
      <w:pPr>
        <w:ind w:left="1020" w:right="100" w:hanging="504"/>
        <w:spacing w:after="0" w:line="280"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access control measures applied to critical IT systems, equipment and devices, designed to prevent unauthorized users, processes, and devices from assessing IT systems and data.</w:t>
      </w:r>
    </w:p>
    <w:p>
      <w:pPr>
        <w:spacing w:after="0" w:line="16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0" w:lineRule="exact"/>
        <w:rPr>
          <w:sz w:val="20"/>
          <w:szCs w:val="20"/>
          <w:color w:val="auto"/>
        </w:rPr>
      </w:pPr>
    </w:p>
    <w:p>
      <w:pPr>
        <w:ind w:right="700"/>
        <w:spacing w:after="0" w:line="265"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the oversight of cybersecurity and other information technology risks to the executive board. The executive board oversees the Security Management team's implementation of our cybersecurity risk management program.</w:t>
      </w:r>
    </w:p>
    <w:p>
      <w:pPr>
        <w:spacing w:after="0" w:line="175" w:lineRule="exact"/>
        <w:rPr>
          <w:sz w:val="20"/>
          <w:szCs w:val="20"/>
          <w:color w:val="auto"/>
        </w:rPr>
      </w:pPr>
    </w:p>
    <w:p>
      <w:pPr>
        <w:jc w:val="both"/>
        <w:ind w:right="200"/>
        <w:spacing w:after="0" w:line="280" w:lineRule="auto"/>
        <w:rPr>
          <w:sz w:val="20"/>
          <w:szCs w:val="20"/>
          <w:color w:val="auto"/>
        </w:rPr>
      </w:pPr>
      <w:r>
        <w:rPr>
          <w:rFonts w:ascii="Times New Roman" w:cs="Times New Roman" w:eastAsia="Times New Roman" w:hAnsi="Times New Roman"/>
          <w:sz w:val="18"/>
          <w:szCs w:val="18"/>
          <w:color w:val="auto"/>
        </w:rPr>
        <w:t>The executive board receives regular updates from the Security Management team on our cybersecurity risks. In addition, the Security Management team updates the executive board, as necessary, regarding any material cybersecurity incidents, as well as any incidents with lesser impact potential.</w:t>
      </w:r>
    </w:p>
    <w:p>
      <w:pPr>
        <w:spacing w:after="0" w:line="163"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The executive board reports to the full Board regarding its activities, including those related to cybersecurity. The full Board also receives briefings from management on our cyber risk management program. Board members receive presentations on cybersecurity topics from our Security Management team, internal security staff and external experts as part of the Board's continuing education on topics that impact public companies.</w:t>
      </w:r>
    </w:p>
    <w:p>
      <w:pPr>
        <w:spacing w:after="0" w:line="175"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Our Security Management team is chaired by the Chief Information Officer and includes the Head of IT Compliance, IT Operations/Infrastructure and Cyber Security, and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Security Management team's background includes experience in regulatory compliance, cloud computing and infrastructure, and cyber incident response.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88" w:name="page189"/>
    <w:bookmarkEnd w:id="188"/>
    <w:p>
      <w:pPr>
        <w:jc w:val="both"/>
        <w:ind w:right="360"/>
        <w:spacing w:after="0" w:line="287" w:lineRule="auto"/>
        <w:rPr>
          <w:sz w:val="20"/>
          <w:szCs w:val="20"/>
          <w:color w:val="auto"/>
        </w:rPr>
      </w:pPr>
      <w:r>
        <w:rPr>
          <w:rFonts w:ascii="Times New Roman" w:cs="Times New Roman" w:eastAsia="Times New Roman" w:hAnsi="Times New Roman"/>
          <w:sz w:val="17"/>
          <w:szCs w:val="17"/>
          <w:color w:val="auto"/>
        </w:rPr>
        <w:t>Our Security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as well as alerts and reports produced by security tools deployed in our IT environment.</w:t>
      </w:r>
    </w:p>
    <w:p>
      <w:pPr>
        <w:spacing w:after="0" w:line="160"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color w:val="auto"/>
        </w:rPr>
        <w:t>Our executive management that is part of the Corporate Management Group signs off on the overall strategic direction for IT security and ensures alignment with our overall business strategy.</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also established a Security Organization Unit to ensure alignment across key security functions in our organization. The Security Organization Unit is chaired by the Chief Information Officer and includes representatives from Foundational Technology and IT Compliance. It is the responsibility of the Security Organization Unit to approve the Company's IT security roadmap, ensure allocation and prioritization of resources, and to act as the escalation point for IT security matters.</w:t>
      </w:r>
    </w:p>
    <w:p>
      <w:pPr>
        <w:spacing w:after="0" w:line="1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 named IT manager is assigned the responsibility of maintaining IT security across our global organization. This responsibility includes defining and driving IT security roadmap initiatives, defining and implementing activities needed to drive an IT security awareness program, supporting the assessment of new IT systems and vendors, and acting as the leader and point person in the event of a major security incident.</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Operational responsibility resides with the related product teams. The product teams are responsible for ensuring effective and updated security technologies are used in the day-to-day operational procedures, and for maintaining, operating and implementing applications and technologies securely across business areas within the Company.</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579" w:right="439" w:bottom="1440" w:gutter="0" w:footer="0" w:header="0"/>
        </w:sectPr>
      </w:pPr>
    </w:p>
    <w:bookmarkStart w:id="189" w:name="page190"/>
    <w:bookmarkEnd w:id="189"/>
    <w:p>
      <w:pPr>
        <w:jc w:val="right"/>
        <w:ind w:right="4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583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575" w:right="1440" w:bottom="1440" w:gutter="0" w:footer="0" w:header="0"/>
        </w:sectPr>
      </w:pPr>
    </w:p>
    <w:bookmarkStart w:id="190" w:name="page191"/>
    <w:bookmarkEnd w:id="1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3"/>
        </w:trPr>
        <w:tc>
          <w:tcPr>
            <w:tcW w:w="9760" w:type="dxa"/>
            <w:vAlign w:val="bottom"/>
            <w:gridSpan w:val="10"/>
          </w:tcPr>
          <w:p>
            <w:pPr>
              <w:ind w:left="20"/>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7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Profit or (Loss) and Other Comprehensive Income or (Loss) for the Years Ended December 31, 2023, 2022</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6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6"/>
              </w:rPr>
              <w:t>and 2021</w:t>
            </w:r>
          </w:p>
        </w:tc>
        <w:tc>
          <w:tcPr>
            <w:tcW w:w="20" w:type="dxa"/>
            <w:vAlign w:val="bottom"/>
            <w:tcBorders>
              <w:bottom w:val="single" w:sz="8" w:color="0000EE"/>
            </w:tcBorders>
          </w:tcPr>
          <w:p>
            <w:pPr>
              <w:spacing w:after="0"/>
              <w:rPr>
                <w:sz w:val="16"/>
                <w:szCs w:val="16"/>
                <w:color w:val="auto"/>
              </w:rPr>
            </w:pPr>
          </w:p>
        </w:tc>
        <w:tc>
          <w:tcPr>
            <w:tcW w:w="8840" w:type="dxa"/>
            <w:vAlign w:val="bottom"/>
            <w:gridSpan w:val="7"/>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 at December 31, 2023 and 2022</w:t>
            </w:r>
          </w:p>
        </w:tc>
        <w:tc>
          <w:tcPr>
            <w:tcW w:w="20" w:type="dxa"/>
            <w:vAlign w:val="bottom"/>
            <w:tcBorders>
              <w:bottom w:val="single" w:sz="8" w:color="0000EE"/>
            </w:tcBorders>
          </w:tcPr>
          <w:p>
            <w:pPr>
              <w:spacing w:after="0"/>
              <w:rPr>
                <w:sz w:val="19"/>
                <w:szCs w:val="19"/>
                <w:color w:val="auto"/>
              </w:rPr>
            </w:pPr>
          </w:p>
        </w:tc>
        <w:tc>
          <w:tcPr>
            <w:tcW w:w="4060" w:type="dxa"/>
            <w:vAlign w:val="bottom"/>
            <w:gridSpan w:val="3"/>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36"/>
        </w:trPr>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Equity at December 31, 2023, 2022 and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3420" w:type="dxa"/>
            <w:vAlign w:val="bottom"/>
            <w:tcBorders>
              <w:left w:val="single" w:sz="8" w:color="0000EE"/>
            </w:tcBorders>
            <w:gridSpan w:val="4"/>
            <w:shd w:val="clear" w:color="auto" w:fill="0000FF"/>
          </w:tcPr>
          <w:p>
            <w:pPr>
              <w:spacing w:after="0" w:line="20" w:lineRule="exact"/>
              <w:rPr>
                <w:sz w:val="1"/>
                <w:szCs w:val="1"/>
                <w:color w:val="auto"/>
              </w:rPr>
            </w:pPr>
          </w:p>
        </w:tc>
        <w:tc>
          <w:tcPr>
            <w:tcW w:w="274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Consolidated Cash Flow Statements for the Years Ended December 31, 2023, 2022 and 2021</w:t>
            </w:r>
          </w:p>
        </w:tc>
        <w:tc>
          <w:tcPr>
            <w:tcW w:w="30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36"/>
        </w:trPr>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680"/>
        </w:trPr>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5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55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F-1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1" w:name="page192"/>
    <w:bookmarkEnd w:id="191"/>
    <w:p>
      <w:pPr>
        <w:ind w:right="5080"/>
        <w:spacing w:after="0" w:line="41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477645" cy="273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477645" cy="273050"/>
                    </a:xfrm>
                    <a:prstGeom prst="rect">
                      <a:avLst/>
                    </a:prstGeom>
                    <a:noFill/>
                  </pic:spPr>
                </pic:pic>
              </a:graphicData>
            </a:graphic>
          </wp:anchor>
        </w:drawing>
        <w:t xml:space="preserve">REPORT OF INDEPENDENT REGISTERED PUBLIC ACCOUNTING FIRM </w:t>
      </w:r>
      <w:r>
        <w:rPr>
          <w:rFonts w:ascii="Times New Roman" w:cs="Times New Roman" w:eastAsia="Times New Roman" w:hAnsi="Times New Roman"/>
          <w:sz w:val="18"/>
          <w:szCs w:val="18"/>
          <w:color w:val="auto"/>
        </w:rPr>
        <w:t>To the Shareholders and Board of Directors of Ascendis Pharma A/S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Ascendis Pharma A/S and subsidiaries (the “Company”) as of December 31, 2023 and 2022, the related consolidated statements of profit or (loss) and other comprehensive income or (loss), the consolidated statements of changes in equity, and the consolidated cash flow statements for each of the three years in the period ended December 31, 2023, and the related notes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IFRS Accounting Standards as issued by the International Accounting Standards Board. Also, in our opinion, the Company maintained, in all material respects, effective internal control over financial reporting as of December 31, 2023, based on criteria established in Internal Control — Integrated Framework (2013) issued by COSO.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67"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87" w:lineRule="exact"/>
        <w:rPr>
          <w:sz w:val="20"/>
          <w:szCs w:val="20"/>
          <w:color w:val="auto"/>
        </w:rPr>
      </w:pPr>
    </w:p>
    <w:p>
      <w:pPr>
        <w:ind w:right="542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Derivative liabilities – Refer to Notes 2, 3 and 16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convertible senior notes which are separated into a financial liability and an embedded derivative component. The financial liability is presented as part of Borrowings on the statement of financial position and accounted for at amortized cost. The embedded derivative component has been accounted for separately as it is deemed not closely related to the financial liability and is presented under Derivative liabilities in the statement of financial position. The embedded derivative component is measured at fair value, which requires the Company to make significant estimates regarding the determination of fair value. In measuring the fair value of the embedded derivative component, the Black-Scholes option pricing model is used, incorporating observable inputs and an unobservable input relating to the assumption for expected volatility. As of December 31, 2023, the embedded derivative presented as derivative liabilities totaled EUR 143 million.</w:t>
      </w:r>
    </w:p>
    <w:p>
      <w:pPr>
        <w:spacing w:after="0" w:line="18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We identified Derivative liabilities as a critical audit matter due to the judgment related to the valuation of the embedded derivative component. Significant audit effort was required to audit the valuation of the embedded derivative component, including involvement of specialists.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derivative liabilities included the following, among others:</w:t>
      </w:r>
    </w:p>
    <w:p>
      <w:pPr>
        <w:spacing w:after="0" w:line="223" w:lineRule="exact"/>
        <w:rPr>
          <w:sz w:val="20"/>
          <w:szCs w:val="20"/>
          <w:color w:val="auto"/>
        </w:rPr>
      </w:pPr>
    </w:p>
    <w:p>
      <w:pPr>
        <w:ind w:left="1020" w:hanging="504"/>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valuation of derivative liabilities;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there are changes to the purchase agreement and offering memorandum, previously issued, during the year;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accounting treatment of the derivative liabilities is consistent with the relevant accounting standards;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193" w:name="page194"/>
    <w:bookmarkEnd w:id="193"/>
    <w:p>
      <w:pPr>
        <w:ind w:left="1020" w:right="320" w:hanging="504"/>
        <w:spacing w:after="0" w:line="280"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valuation techniques used for the derivative liabilities are appropriate and consistent with relevant accounting standards;</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our fair value specialists to independently calculate the fair value and assess the reasonableness of the valuation assumptions of the derivative liabilities at year-end;</w:t>
      </w:r>
    </w:p>
    <w:p>
      <w:pPr>
        <w:spacing w:after="0" w:line="55" w:lineRule="exact"/>
        <w:rPr>
          <w:rFonts w:ascii="Times New Roman" w:cs="Times New Roman" w:eastAsia="Times New Roman" w:hAnsi="Times New Roman"/>
          <w:sz w:val="18"/>
          <w:szCs w:val="18"/>
          <w:color w:val="auto"/>
        </w:rPr>
      </w:pPr>
    </w:p>
    <w:p>
      <w:pPr>
        <w:ind w:left="1020" w:right="140" w:hanging="504"/>
        <w:spacing w:after="0" w:line="280"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traced the information from the purchase agreement and offering memorandum to the inputs used in the Company’s calculations of the derivative liabilities;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traced the external inputs used in the Company’s calculations of the derivative liabilities to reliable independent sources;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Company’s calculations of the derivative liabilities.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471" w:right="47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 or (Loss) for the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Profit or (Loss)</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266,718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222,323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39,037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413,454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379,624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264,410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221,227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(455,541 )</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(561,814 )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(451,792 )</w:t>
            </w:r>
          </w:p>
        </w:tc>
        <w:tc>
          <w:tcPr>
            <w:tcW w:w="0" w:type="dxa"/>
            <w:vAlign w:val="bottom"/>
          </w:tcPr>
          <w:p>
            <w:pPr>
              <w:spacing w:after="0"/>
              <w:rPr>
                <w:sz w:val="1"/>
                <w:szCs w:val="1"/>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profit/(loss) of associate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(18,395 )</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(17,697 )</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(474,144 )</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(577,817 )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(383,944 )</w:t>
            </w:r>
          </w:p>
        </w:tc>
        <w:tc>
          <w:tcPr>
            <w:tcW w:w="0" w:type="dxa"/>
            <w:vAlign w:val="bottom"/>
          </w:tcPr>
          <w:p>
            <w:pPr>
              <w:spacing w:after="0"/>
              <w:rPr>
                <w:sz w:val="1"/>
                <w:szCs w:val="1"/>
                <w:color w:val="auto"/>
              </w:rPr>
            </w:pPr>
          </w:p>
        </w:tc>
      </w:tr>
      <w:tr>
        <w:trPr>
          <w:trHeight w:val="24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profit/(loss) for the year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(7,303 )</w:t>
            </w:r>
          </w:p>
        </w:tc>
        <w:tc>
          <w:tcPr>
            <w:tcW w:w="2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(5,377 )</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6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(481,447 )</w:t>
            </w: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(583,194 )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(383,577 )</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owners of the Company</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(481,447 )</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(583,194 )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(383,577 )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earnings/(loss) per share</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(8.55 )  €</w:t>
            </w:r>
          </w:p>
        </w:tc>
        <w:tc>
          <w:tcPr>
            <w:tcW w:w="16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(10.40 )  €</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42"/>
        </w:trPr>
        <w:tc>
          <w:tcPr>
            <w:tcW w:w="582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Weighted average number of shares used for calculation (basic and diluted) </w:t>
            </w:r>
            <w:r>
              <w:rPr>
                <w:rFonts w:ascii="Times New Roman" w:cs="Times New Roman" w:eastAsia="Times New Roman" w:hAnsi="Times New Roman"/>
                <w:sz w:val="24"/>
                <w:szCs w:val="24"/>
                <w:color w:val="auto"/>
                <w:vertAlign w:val="superscript"/>
              </w:rPr>
              <w:t>(1)</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56,287,060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56,071,793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54,771,763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Comprehensive Income or (Loss)</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(481,447 )</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(583,194 )</w:t>
            </w:r>
          </w:p>
        </w:tc>
        <w:tc>
          <w:tcPr>
            <w:tcW w:w="2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(383,577 )</w:t>
            </w:r>
          </w:p>
        </w:tc>
        <w:tc>
          <w:tcPr>
            <w:tcW w:w="0" w:type="dxa"/>
            <w:vAlign w:val="bottom"/>
          </w:tcPr>
          <w:p>
            <w:pPr>
              <w:spacing w:after="0"/>
              <w:rPr>
                <w:sz w:val="1"/>
                <w:szCs w:val="1"/>
                <w:color w:val="auto"/>
              </w:rPr>
            </w:pPr>
          </w:p>
        </w:tc>
      </w:tr>
      <w:tr>
        <w:trPr>
          <w:trHeight w:val="24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Items that may be reclassified subsequently to profit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or loss:</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(2,731 )</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(327 )</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comprehensive income/(loss) for the year, net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(2,731 )</w:t>
            </w:r>
          </w:p>
        </w:tc>
        <w:tc>
          <w:tcPr>
            <w:tcW w:w="220" w:type="dxa"/>
            <w:vAlign w:val="bottom"/>
          </w:tcPr>
          <w:p>
            <w:pPr>
              <w:spacing w:after="0"/>
              <w:rPr>
                <w:sz w:val="17"/>
                <w:szCs w:val="17"/>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(327 )</w:t>
            </w: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20" w:type="dxa"/>
            <w:vAlign w:val="bottom"/>
            <w:shd w:val="clear" w:color="auto" w:fill="CFF0FC"/>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Total comprehensive income/(loss) for the year, net</w:t>
            </w: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(484,178 )</w:t>
            </w:r>
          </w:p>
        </w:tc>
        <w:tc>
          <w:tcPr>
            <w:tcW w:w="22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(583,521 )</w:t>
            </w:r>
          </w:p>
        </w:tc>
        <w:tc>
          <w:tcPr>
            <w:tcW w:w="28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(379,722 )</w:t>
            </w:r>
          </w:p>
        </w:tc>
        <w:tc>
          <w:tcPr>
            <w:tcW w:w="0" w:type="dxa"/>
            <w:vAlign w:val="bottom"/>
          </w:tcPr>
          <w:p>
            <w:pPr>
              <w:spacing w:after="0"/>
              <w:rPr>
                <w:sz w:val="1"/>
                <w:szCs w:val="1"/>
                <w:color w:val="auto"/>
              </w:rPr>
            </w:pPr>
          </w:p>
        </w:tc>
      </w:tr>
      <w:tr>
        <w:trPr>
          <w:trHeight w:val="231"/>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owners of the Company</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(484,178 )</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(583,521 )</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(379,722 )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-4039870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-4039870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-4039870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-2468245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-2451100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-2468245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-2451100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-2468245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-2451100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-751205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-751205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-751205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-187325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-170180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-187325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-170180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-170180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right="100" w:hanging="512"/>
        <w:spacing w:after="0" w:line="234" w:lineRule="auto"/>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total of 6,523,784 warrants outstanding as of December 31, 2023 (a total of 6,864,011 warrants and 7,085,073 warrants outstanding as of December 31, 2022 and 2021, respectively) can potentially dilute earnings per share in the future but have not been included in the calculation of diluted earnings per share because they are antidilutive for the periods presented. Similarly, 575,000 convertible senior notes which were issued in March 2022 can potentially be converted into 3,456,785 ordinary shares, and can potentially dilute earnings per share in the future but have not been included in the calculation of diluted earnings per share because they are antidilutive for 2022 and 2023.</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5" w:name="page196"/>
    <w:bookmarkEnd w:id="1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as of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8"/>
        </w:trPr>
        <w:tc>
          <w:tcPr>
            <w:tcW w:w="4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5, 10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5, 11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129,095</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associate</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0"/>
                <w:szCs w:val="20"/>
                <w:color w:val="auto"/>
              </w:rPr>
            </w:pPr>
          </w:p>
        </w:tc>
      </w:tr>
      <w:tr>
        <w:trPr>
          <w:trHeight w:val="244"/>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2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4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122,866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166,267</w:t>
            </w:r>
          </w:p>
        </w:tc>
        <w:tc>
          <w:tcPr>
            <w:tcW w:w="100" w:type="dxa"/>
            <w:vAlign w:val="bottom"/>
          </w:tcPr>
          <w:p>
            <w:pPr>
              <w:spacing w:after="0"/>
              <w:rPr>
                <w:sz w:val="20"/>
                <w:szCs w:val="20"/>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208,931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130,673</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0"/>
                <w:szCs w:val="20"/>
                <w:color w:val="auto"/>
              </w:rPr>
            </w:pPr>
          </w:p>
        </w:tc>
      </w:tr>
      <w:tr>
        <w:trPr>
          <w:trHeight w:val="24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38,578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tcPr>
          <w:p>
            <w:pPr>
              <w:spacing w:after="0"/>
              <w:rPr>
                <w:sz w:val="20"/>
                <w:szCs w:val="20"/>
                <w:color w:val="auto"/>
              </w:rPr>
            </w:pPr>
          </w:p>
        </w:tc>
      </w:tr>
      <w:tr>
        <w:trPr>
          <w:trHeight w:val="24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290,688</w:t>
            </w:r>
          </w:p>
        </w:tc>
        <w:tc>
          <w:tcPr>
            <w:tcW w:w="100" w:type="dxa"/>
            <w:vAlign w:val="bottom"/>
            <w:shd w:val="clear" w:color="auto" w:fill="CFF0FC"/>
          </w:tcPr>
          <w:p>
            <w:pPr>
              <w:spacing w:after="0"/>
              <w:rPr>
                <w:sz w:val="21"/>
                <w:szCs w:val="2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26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444,767</w:t>
            </w:r>
          </w:p>
        </w:tc>
        <w:tc>
          <w:tcPr>
            <w:tcW w:w="100" w:type="dxa"/>
            <w:vAlign w:val="bottom"/>
          </w:tcPr>
          <w:p>
            <w:pPr>
              <w:spacing w:after="0"/>
              <w:rPr>
                <w:sz w:val="21"/>
                <w:szCs w:val="21"/>
                <w:color w:val="auto"/>
              </w:rPr>
            </w:pPr>
          </w:p>
        </w:tc>
      </w:tr>
      <w:tr>
        <w:trPr>
          <w:trHeight w:val="233"/>
        </w:trPr>
        <w:tc>
          <w:tcPr>
            <w:tcW w:w="4100" w:type="dxa"/>
            <w:vAlign w:val="bottom"/>
            <w:tcBorders>
              <w:bottom w:val="single" w:sz="8" w:color="CFF0FC"/>
            </w:tcBorders>
            <w:shd w:val="clear" w:color="auto" w:fill="CFF0FC"/>
          </w:tcPr>
          <w:p>
            <w:pPr>
              <w:spacing w:after="0"/>
              <w:rPr>
                <w:sz w:val="20"/>
                <w:szCs w:val="20"/>
                <w:color w:val="auto"/>
              </w:rPr>
            </w:pPr>
          </w:p>
        </w:tc>
        <w:tc>
          <w:tcPr>
            <w:tcW w:w="28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702,721</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923,471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825,587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1,089,738</w:t>
            </w:r>
          </w:p>
        </w:tc>
        <w:tc>
          <w:tcPr>
            <w:tcW w:w="100" w:type="dxa"/>
            <w:vAlign w:val="bottom"/>
          </w:tcPr>
          <w:p>
            <w:pPr>
              <w:spacing w:after="0"/>
              <w:rPr>
                <w:sz w:val="20"/>
                <w:szCs w:val="20"/>
                <w:color w:val="auto"/>
              </w:rPr>
            </w:pPr>
          </w:p>
        </w:tc>
      </w:tr>
      <w:tr>
        <w:trPr>
          <w:trHeight w:val="20"/>
        </w:trPr>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10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Pr>
          <w:p>
            <w:pPr>
              <w:spacing w:after="0"/>
              <w:rPr>
                <w:sz w:val="20"/>
                <w:szCs w:val="20"/>
                <w:color w:val="auto"/>
              </w:rPr>
            </w:pPr>
          </w:p>
        </w:tc>
      </w:tr>
      <w:tr>
        <w:trPr>
          <w:trHeight w:val="240"/>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Distributable equity</w:t>
            </w:r>
          </w:p>
        </w:tc>
        <w:tc>
          <w:tcPr>
            <w:tcW w:w="28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(153,446 )</w:t>
            </w:r>
          </w:p>
        </w:tc>
        <w:tc>
          <w:tcPr>
            <w:tcW w:w="4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255,673</w:t>
            </w:r>
          </w:p>
        </w:tc>
        <w:tc>
          <w:tcPr>
            <w:tcW w:w="100" w:type="dxa"/>
            <w:vAlign w:val="bottom"/>
            <w:shd w:val="clear" w:color="auto" w:fill="CFF0FC"/>
          </w:tcPr>
          <w:p>
            <w:pPr>
              <w:spacing w:after="0"/>
              <w:rPr>
                <w:sz w:val="20"/>
                <w:szCs w:val="20"/>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(145,697 )</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263,348</w:t>
            </w:r>
          </w:p>
        </w:tc>
        <w:tc>
          <w:tcPr>
            <w:tcW w:w="100" w:type="dxa"/>
            <w:vAlign w:val="bottom"/>
          </w:tcPr>
          <w:p>
            <w:pPr>
              <w:spacing w:after="0"/>
              <w:rPr>
                <w:sz w:val="20"/>
                <w:szCs w:val="20"/>
                <w:color w:val="auto"/>
              </w:rPr>
            </w:pPr>
          </w:p>
        </w:tc>
      </w:tr>
      <w:tr>
        <w:trPr>
          <w:trHeight w:val="238"/>
        </w:trPr>
        <w:tc>
          <w:tcPr>
            <w:tcW w:w="4100" w:type="dxa"/>
            <w:vAlign w:val="bottom"/>
            <w:shd w:val="clear" w:color="auto" w:fill="CFF0FC"/>
          </w:tcPr>
          <w:p>
            <w:pPr>
              <w:spacing w:after="0"/>
              <w:rPr>
                <w:sz w:val="20"/>
                <w:szCs w:val="20"/>
                <w:color w:val="auto"/>
              </w:rPr>
            </w:pPr>
          </w:p>
        </w:tc>
        <w:tc>
          <w:tcPr>
            <w:tcW w:w="28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534,246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387,556</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84,619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95,400</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Pr>
          <w:p>
            <w:pPr>
              <w:spacing w:after="0"/>
              <w:rPr>
                <w:sz w:val="20"/>
                <w:szCs w:val="20"/>
                <w:color w:val="auto"/>
              </w:rPr>
            </w:pPr>
          </w:p>
        </w:tc>
      </w:tr>
      <w:tr>
        <w:trPr>
          <w:trHeight w:val="244"/>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4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773,940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655,119</w:t>
            </w:r>
          </w:p>
        </w:tc>
        <w:tc>
          <w:tcPr>
            <w:tcW w:w="100" w:type="dxa"/>
            <w:vAlign w:val="bottom"/>
          </w:tcPr>
          <w:p>
            <w:pPr>
              <w:spacing w:after="0"/>
              <w:rPr>
                <w:sz w:val="20"/>
                <w:szCs w:val="20"/>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31,989</w:t>
            </w:r>
          </w:p>
        </w:tc>
        <w:tc>
          <w:tcPr>
            <w:tcW w:w="100" w:type="dxa"/>
            <w:vAlign w:val="bottom"/>
          </w:tcPr>
          <w:p>
            <w:pPr>
              <w:spacing w:after="0"/>
              <w:rPr>
                <w:sz w:val="20"/>
                <w:szCs w:val="20"/>
                <w:color w:val="auto"/>
              </w:rPr>
            </w:pPr>
          </w:p>
        </w:tc>
      </w:tr>
      <w:tr>
        <w:trPr>
          <w:trHeight w:val="24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payables</w:t>
            </w:r>
          </w:p>
        </w:tc>
        <w:tc>
          <w:tcPr>
            <w:tcW w:w="28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FF0FC"/>
          </w:tcPr>
          <w:p>
            <w:pPr>
              <w:spacing w:after="0"/>
              <w:rPr>
                <w:sz w:val="21"/>
                <w:szCs w:val="2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tcPr>
          <w:p>
            <w:pPr>
              <w:spacing w:after="0"/>
              <w:rPr>
                <w:sz w:val="21"/>
                <w:szCs w:val="21"/>
                <w:color w:val="auto"/>
              </w:rPr>
            </w:pPr>
          </w:p>
        </w:tc>
      </w:tr>
      <w:tr>
        <w:trPr>
          <w:trHeight w:val="233"/>
        </w:trPr>
        <w:tc>
          <w:tcPr>
            <w:tcW w:w="4100" w:type="dxa"/>
            <w:vAlign w:val="bottom"/>
            <w:tcBorders>
              <w:bottom w:val="single" w:sz="8" w:color="CFF0FC"/>
            </w:tcBorders>
            <w:shd w:val="clear" w:color="auto" w:fill="CFF0FC"/>
          </w:tcPr>
          <w:p>
            <w:pPr>
              <w:spacing w:after="0"/>
              <w:rPr>
                <w:sz w:val="20"/>
                <w:szCs w:val="20"/>
                <w:color w:val="auto"/>
              </w:rPr>
            </w:pPr>
          </w:p>
        </w:tc>
        <w:tc>
          <w:tcPr>
            <w:tcW w:w="28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197,344</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171,271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971,284</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826,390</w:t>
            </w:r>
          </w:p>
        </w:tc>
        <w:tc>
          <w:tcPr>
            <w:tcW w:w="100" w:type="dxa"/>
            <w:vAlign w:val="bottom"/>
          </w:tcPr>
          <w:p>
            <w:pPr>
              <w:spacing w:after="0"/>
              <w:rPr>
                <w:sz w:val="20"/>
                <w:szCs w:val="20"/>
                <w:color w:val="auto"/>
              </w:rPr>
            </w:pPr>
          </w:p>
        </w:tc>
      </w:tr>
      <w:tr>
        <w:trPr>
          <w:trHeight w:val="2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88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825,587</w:t>
            </w:r>
          </w:p>
        </w:tc>
        <w:tc>
          <w:tcPr>
            <w:tcW w:w="2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1,089,738</w:t>
            </w:r>
          </w:p>
        </w:tc>
        <w:tc>
          <w:tcPr>
            <w:tcW w:w="100" w:type="dxa"/>
            <w:vAlign w:val="bottom"/>
            <w:shd w:val="clear" w:color="auto" w:fill="CFF0FC"/>
          </w:tcPr>
          <w:p>
            <w:pPr>
              <w:spacing w:after="0"/>
              <w:rPr>
                <w:sz w:val="23"/>
                <w:szCs w:val="23"/>
                <w:color w:val="auto"/>
              </w:rPr>
            </w:pPr>
          </w:p>
        </w:tc>
      </w:tr>
      <w:tr>
        <w:trPr>
          <w:trHeight w:val="521"/>
        </w:trPr>
        <w:tc>
          <w:tcPr>
            <w:tcW w:w="4100" w:type="dxa"/>
            <w:vAlign w:val="bottom"/>
            <w:tcBorders>
              <w:top w:val="single" w:sz="8" w:color="CFF0FC"/>
            </w:tcBorders>
          </w:tcPr>
          <w:p>
            <w:pPr>
              <w:spacing w:after="0"/>
              <w:rPr>
                <w:sz w:val="24"/>
                <w:szCs w:val="24"/>
                <w:color w:val="auto"/>
              </w:rPr>
            </w:pPr>
          </w:p>
        </w:tc>
        <w:tc>
          <w:tcPr>
            <w:tcW w:w="3660" w:type="dxa"/>
            <w:vAlign w:val="bottom"/>
            <w:tcBorders>
              <w:top w:val="single" w:sz="8" w:color="CFF0FC"/>
            </w:tcBorders>
            <w:gridSpan w:val="2"/>
          </w:tcPr>
          <w:p>
            <w:pPr>
              <w:jc w:val="right"/>
              <w:ind w:right="1948"/>
              <w:spacing w:after="0"/>
              <w:rPr>
                <w:sz w:val="20"/>
                <w:szCs w:val="20"/>
                <w:color w:val="auto"/>
              </w:rPr>
            </w:pPr>
            <w:r>
              <w:rPr>
                <w:rFonts w:ascii="Times New Roman" w:cs="Times New Roman" w:eastAsia="Times New Roman" w:hAnsi="Times New Roman"/>
                <w:sz w:val="18"/>
                <w:szCs w:val="18"/>
                <w:color w:val="auto"/>
              </w:rPr>
              <w:t>F-6</w:t>
            </w:r>
          </w:p>
        </w:tc>
        <w:tc>
          <w:tcPr>
            <w:tcW w:w="260" w:type="dxa"/>
            <w:vAlign w:val="bottom"/>
            <w:tcBorders>
              <w:top w:val="single" w:sz="8" w:color="CFF0FC"/>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652"/>
        </w:trPr>
        <w:tc>
          <w:tcPr>
            <w:tcW w:w="41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-6449060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-6449060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-4885690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-4885690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-3928745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-3928745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-2681605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-2681605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-1118235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-1118235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-793750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-776605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-793750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-776605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6" w:name="page197"/>
    <w:bookmarkEnd w:id="1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Distributable Equity</w:t>
            </w: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00"/>
              <w:spacing w:after="0" w:line="134" w:lineRule="exact"/>
              <w:rPr>
                <w:sz w:val="20"/>
                <w:szCs w:val="20"/>
                <w:color w:val="auto"/>
              </w:rPr>
            </w:pPr>
            <w:r>
              <w:rPr>
                <w:rFonts w:ascii="Times New Roman" w:cs="Times New Roman" w:eastAsia="Times New Roman" w:hAnsi="Times New Roman"/>
                <w:sz w:val="12"/>
                <w:szCs w:val="12"/>
                <w:b w:val="1"/>
                <w:bCs w:val="1"/>
                <w:color w:val="auto"/>
                <w:w w:val="99"/>
              </w:rPr>
              <w:t>Foreign</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00"/>
              <w:spacing w:after="0" w:line="134" w:lineRule="exact"/>
              <w:rPr>
                <w:sz w:val="20"/>
                <w:szCs w:val="20"/>
                <w:color w:val="auto"/>
              </w:rPr>
            </w:pPr>
            <w:r>
              <w:rPr>
                <w:rFonts w:ascii="Times New Roman" w:cs="Times New Roman" w:eastAsia="Times New Roman" w:hAnsi="Times New Roman"/>
                <w:sz w:val="12"/>
                <w:szCs w:val="12"/>
                <w:b w:val="1"/>
                <w:bCs w:val="1"/>
                <w:color w:val="auto"/>
                <w:w w:val="97"/>
              </w:rPr>
              <w:t>Currency</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jc w:val="center"/>
              <w:ind w:left="282"/>
              <w:spacing w:after="0" w:line="13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right"/>
              <w:ind w:right="640"/>
              <w:spacing w:after="0" w:line="134" w:lineRule="exact"/>
              <w:rPr>
                <w:sz w:val="20"/>
                <w:szCs w:val="20"/>
                <w:color w:val="auto"/>
              </w:rPr>
            </w:pPr>
            <w:r>
              <w:rPr>
                <w:rFonts w:ascii="Times New Roman" w:cs="Times New Roman" w:eastAsia="Times New Roman" w:hAnsi="Times New Roman"/>
                <w:sz w:val="12"/>
                <w:szCs w:val="12"/>
                <w:b w:val="1"/>
                <w:bCs w:val="1"/>
                <w:color w:val="auto"/>
              </w:rPr>
              <w:t>Share</w:t>
            </w:r>
          </w:p>
        </w:tc>
        <w:tc>
          <w:tcPr>
            <w:tcW w:w="1420" w:type="dxa"/>
            <w:vAlign w:val="bottom"/>
            <w:gridSpan w:val="3"/>
          </w:tcPr>
          <w:p>
            <w:pPr>
              <w:ind w:left="280"/>
              <w:spacing w:after="0" w:line="134"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40" w:type="dxa"/>
            <w:vAlign w:val="bottom"/>
            <w:gridSpan w:val="2"/>
          </w:tcPr>
          <w:p>
            <w:pPr>
              <w:jc w:val="center"/>
              <w:ind w:right="400"/>
              <w:spacing w:after="0" w:line="134" w:lineRule="exact"/>
              <w:rPr>
                <w:sz w:val="20"/>
                <w:szCs w:val="20"/>
                <w:color w:val="auto"/>
              </w:rPr>
            </w:pPr>
            <w:r>
              <w:rPr>
                <w:rFonts w:ascii="Times New Roman" w:cs="Times New Roman" w:eastAsia="Times New Roman" w:hAnsi="Times New Roman"/>
                <w:sz w:val="12"/>
                <w:szCs w:val="12"/>
                <w:b w:val="1"/>
                <w:bCs w:val="1"/>
                <w:color w:val="auto"/>
                <w:w w:val="93"/>
              </w:rPr>
              <w:t>Translation</w:t>
            </w:r>
          </w:p>
        </w:tc>
        <w:tc>
          <w:tcPr>
            <w:tcW w:w="1240" w:type="dxa"/>
            <w:vAlign w:val="bottom"/>
            <w:gridSpan w:val="2"/>
          </w:tcPr>
          <w:p>
            <w:pPr>
              <w:jc w:val="right"/>
              <w:ind w:right="400"/>
              <w:spacing w:after="0" w:line="13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72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Premium</w:t>
            </w:r>
          </w:p>
        </w:tc>
        <w:tc>
          <w:tcPr>
            <w:tcW w:w="260" w:type="dxa"/>
            <w:vAlign w:val="bottom"/>
          </w:tcPr>
          <w:p>
            <w:pPr>
              <w:spacing w:after="0"/>
              <w:rPr>
                <w:sz w:val="13"/>
                <w:szCs w:val="13"/>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w w:val="98"/>
              </w:rPr>
              <w:t>Reserve</w:t>
            </w:r>
          </w:p>
        </w:tc>
        <w:tc>
          <w:tcPr>
            <w:tcW w:w="200" w:type="dxa"/>
            <w:vAlign w:val="bottom"/>
          </w:tcPr>
          <w:p>
            <w:pPr>
              <w:spacing w:after="0"/>
              <w:rPr>
                <w:sz w:val="13"/>
                <w:szCs w:val="13"/>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left="714"/>
              <w:spacing w:after="0"/>
              <w:rPr>
                <w:sz w:val="20"/>
                <w:szCs w:val="20"/>
                <w:color w:val="auto"/>
              </w:rPr>
            </w:pPr>
            <w:r>
              <w:rPr>
                <w:rFonts w:ascii="Times New Roman" w:cs="Times New Roman" w:eastAsia="Times New Roman" w:hAnsi="Times New Roman"/>
                <w:sz w:val="12"/>
                <w:szCs w:val="12"/>
                <w:b w:val="1"/>
                <w:bCs w:val="1"/>
                <w:color w:val="auto"/>
                <w:w w:val="95"/>
              </w:rPr>
              <w:t>(EUR ‘000)</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January 1, 2021</w:t>
            </w: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7,217</w:t>
            </w: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1,728,747</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(76 )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(897,177 )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838,711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profit/(loss) for the period</w:t>
            </w:r>
          </w:p>
        </w:tc>
        <w:tc>
          <w:tcPr>
            <w:tcW w:w="7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(383,577 )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(383,577 )</w:t>
            </w: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2"/>
                <w:szCs w:val="12"/>
                <w:color w:val="auto"/>
              </w:rPr>
            </w:pPr>
          </w:p>
        </w:tc>
        <w:tc>
          <w:tcPr>
            <w:tcW w:w="200" w:type="dxa"/>
            <w:vAlign w:val="bottom"/>
            <w:vMerge w:val="restart"/>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2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04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1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3,855</w:t>
            </w: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(383,577 )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(379,722 )</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66,830</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66,830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(21 )</w:t>
            </w: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(21,584 )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(21,605 )</w:t>
            </w: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398,966</w:t>
            </w:r>
          </w:p>
        </w:tc>
        <w:tc>
          <w:tcPr>
            <w:tcW w:w="260" w:type="dxa"/>
            <w:vAlign w:val="bottom"/>
          </w:tcPr>
          <w:p>
            <w:pPr>
              <w:spacing w:after="0"/>
              <w:rPr>
                <w:sz w:val="15"/>
                <w:szCs w:val="15"/>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399,395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capital increase</w:t>
            </w: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(19,974 )</w:t>
            </w:r>
          </w:p>
        </w:tc>
        <w:tc>
          <w:tcPr>
            <w:tcW w:w="14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(19,974 )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December 31, 2021</w:t>
            </w:r>
          </w:p>
        </w:tc>
        <w:tc>
          <w:tcPr>
            <w:tcW w:w="7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7,646</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2,107,739</w:t>
            </w:r>
          </w:p>
        </w:tc>
        <w:tc>
          <w:tcPr>
            <w:tcW w:w="2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(21 )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3,779</w:t>
            </w: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(1,235,508 )</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883,635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profit/(loss) for the period</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(583,194 )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(583,194 )</w:t>
            </w:r>
          </w:p>
        </w:tc>
        <w:tc>
          <w:tcPr>
            <w:tcW w:w="0" w:type="dxa"/>
            <w:vAlign w:val="bottom"/>
          </w:tcPr>
          <w:p>
            <w:pPr>
              <w:spacing w:after="0"/>
              <w:rPr>
                <w:sz w:val="1"/>
                <w:szCs w:val="1"/>
                <w:color w:val="auto"/>
              </w:rPr>
            </w:pPr>
          </w:p>
        </w:tc>
      </w:tr>
      <w:tr>
        <w:trPr>
          <w:trHeight w:val="14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(327 )</w:t>
            </w: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(327 )</w:t>
            </w:r>
          </w:p>
        </w:tc>
        <w:tc>
          <w:tcPr>
            <w:tcW w:w="0" w:type="dxa"/>
            <w:vAlign w:val="bottom"/>
          </w:tcPr>
          <w:p>
            <w:pPr>
              <w:spacing w:after="0"/>
              <w:rPr>
                <w:sz w:val="1"/>
                <w:szCs w:val="1"/>
                <w:color w:val="auto"/>
              </w:rPr>
            </w:pPr>
          </w:p>
        </w:tc>
      </w:tr>
      <w:tr>
        <w:trPr>
          <w:trHeight w:val="161"/>
        </w:trPr>
        <w:tc>
          <w:tcPr>
            <w:tcW w:w="3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(327 )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(583,194 )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(583,521 )</w:t>
            </w:r>
          </w:p>
        </w:tc>
        <w:tc>
          <w:tcPr>
            <w:tcW w:w="0" w:type="dxa"/>
            <w:vAlign w:val="bottom"/>
          </w:tcPr>
          <w:p>
            <w:pPr>
              <w:spacing w:after="0"/>
              <w:rPr>
                <w:sz w:val="1"/>
                <w:szCs w:val="1"/>
                <w:color w:val="auto"/>
              </w:rPr>
            </w:pPr>
          </w:p>
        </w:tc>
      </w:tr>
      <w:tr>
        <w:trPr>
          <w:trHeight w:val="168"/>
        </w:trPr>
        <w:tc>
          <w:tcPr>
            <w:tcW w:w="3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64,180</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64,180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(134 )</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(105,965 )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(106,099 )</w:t>
            </w: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Transfer under stock incentive programs</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5,124</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December 31, 2022</w:t>
            </w:r>
          </w:p>
        </w:tc>
        <w:tc>
          <w:tcPr>
            <w:tcW w:w="7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7,675</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2,112,863</w:t>
            </w: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(149 )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3,452</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(1,860,493 )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263,348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profit/(loss) for the period</w:t>
            </w:r>
          </w:p>
        </w:tc>
        <w:tc>
          <w:tcPr>
            <w:tcW w:w="7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(481,447 )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(481,447 )</w:t>
            </w: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2"/>
                <w:szCs w:val="12"/>
                <w:color w:val="auto"/>
              </w:rPr>
            </w:pPr>
          </w:p>
        </w:tc>
        <w:tc>
          <w:tcPr>
            <w:tcW w:w="200" w:type="dxa"/>
            <w:vAlign w:val="bottom"/>
            <w:vMerge w:val="restart"/>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(2,731 )</w:t>
            </w: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(2,731 )</w:t>
            </w:r>
          </w:p>
        </w:tc>
        <w:tc>
          <w:tcPr>
            <w:tcW w:w="0" w:type="dxa"/>
            <w:vAlign w:val="bottom"/>
          </w:tcPr>
          <w:p>
            <w:pPr>
              <w:spacing w:after="0"/>
              <w:rPr>
                <w:sz w:val="1"/>
                <w:szCs w:val="1"/>
                <w:color w:val="auto"/>
              </w:rPr>
            </w:pPr>
          </w:p>
        </w:tc>
      </w:tr>
      <w:tr>
        <w:trPr>
          <w:trHeight w:val="161"/>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240" w:type="dxa"/>
            <w:vAlign w:val="bottom"/>
            <w:gridSpan w:val="2"/>
            <w:vMerge w:val="continue"/>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(2,731 )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(481,447 )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(484,178 )</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66,660</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66,660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Transfer under stock incentive programs</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settlement under stock incentive programs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(1,812 )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(1,812 )</w:t>
            </w: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72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10,211</w:t>
            </w:r>
          </w:p>
        </w:tc>
        <w:tc>
          <w:tcPr>
            <w:tcW w:w="2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10,285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December 31, 2023</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7,749</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2,123,074</w:t>
            </w:r>
          </w:p>
        </w:tc>
        <w:tc>
          <w:tcPr>
            <w:tcW w:w="2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(146 )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721</w:t>
            </w: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(2,277,095 )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(145,697 )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-3416300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-3416300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-3416300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-3416300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-3416300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-3416300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-3100070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-3100070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-3100070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-3100070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-3100070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-3100070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-2416810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-2416810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-2416810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-2416810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-2416810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-2416810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-1844675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-1844675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-1844675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-1844675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-1844675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-1844675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-1161415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-1144270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-1161415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-1144270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-1161415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-1144270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-1161415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-1144270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-1161415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-1144270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-1161415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-1144270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-828040</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-828040</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-828040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-828040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-828040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-828040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-144780</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-144780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-144780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-144780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-144780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-144780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7" w:name="page198"/>
    <w:bookmarkEnd w:id="1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Cash Flow Statements for the year Ended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8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6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profit/(loss) for the year</w:t>
            </w:r>
          </w:p>
        </w:tc>
        <w:tc>
          <w:tcPr>
            <w:tcW w:w="70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(481,447 )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(583,194 )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(383,577 )</w:t>
            </w:r>
          </w:p>
        </w:tc>
      </w:tr>
      <w:tr>
        <w:trPr>
          <w:trHeight w:val="23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Reversal of finance income</w:t>
            </w:r>
          </w:p>
        </w:tc>
        <w:tc>
          <w:tcPr>
            <w:tcW w:w="70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(43,857 )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(52,181 )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(59,718 )</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Reversal of finance expenses</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44,065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50,487</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tcPr>
          <w:p>
            <w:pPr>
              <w:spacing w:after="0"/>
              <w:rPr>
                <w:sz w:val="19"/>
                <w:szCs w:val="19"/>
                <w:color w:val="auto"/>
              </w:rPr>
            </w:pP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Reversal of gain and loss on disposal of property, plant and equipment</w:t>
            </w:r>
          </w:p>
        </w:tc>
        <w:tc>
          <w:tcPr>
            <w:tcW w:w="7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Reversal of income taxes (expenses)</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2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(367 )</w:t>
            </w: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for non-cash items:</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9"/>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consideration relating to revenue</w:t>
            </w:r>
          </w:p>
        </w:tc>
        <w:tc>
          <w:tcPr>
            <w:tcW w:w="70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(2,354 )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(2,547 )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(2,365 )</w:t>
            </w:r>
          </w:p>
        </w:tc>
      </w:tr>
      <w:tr>
        <w:trPr>
          <w:trHeight w:val="238"/>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 of profit/(loss) of associate</w:t>
            </w:r>
          </w:p>
        </w:tc>
        <w:tc>
          <w:tcPr>
            <w:tcW w:w="7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18,395</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(12,041 )</w:t>
            </w:r>
          </w:p>
        </w:tc>
      </w:tr>
      <w:tr>
        <w:trPr>
          <w:trHeight w:val="219"/>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payment</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66,660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66,830</w:t>
            </w:r>
          </w:p>
        </w:tc>
        <w:tc>
          <w:tcPr>
            <w:tcW w:w="100" w:type="dxa"/>
            <w:vAlign w:val="bottom"/>
          </w:tcPr>
          <w:p>
            <w:pPr>
              <w:spacing w:after="0"/>
              <w:rPr>
                <w:sz w:val="19"/>
                <w:szCs w:val="19"/>
                <w:color w:val="auto"/>
              </w:rPr>
            </w:pPr>
          </w:p>
        </w:tc>
      </w:tr>
      <w:tr>
        <w:trPr>
          <w:trHeight w:val="238"/>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7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18,428</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14,946</w:t>
            </w:r>
          </w:p>
        </w:tc>
        <w:tc>
          <w:tcPr>
            <w:tcW w:w="100" w:type="dxa"/>
            <w:vAlign w:val="bottom"/>
            <w:shd w:val="clear" w:color="auto" w:fill="CFF0FC"/>
          </w:tcPr>
          <w:p>
            <w:pPr>
              <w:spacing w:after="0"/>
              <w:rPr>
                <w:sz w:val="20"/>
                <w:szCs w:val="20"/>
                <w:color w:val="auto"/>
              </w:rPr>
            </w:pPr>
          </w:p>
        </w:tc>
      </w:tr>
      <w:tr>
        <w:trPr>
          <w:trHeight w:val="219"/>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w:t>
            </w:r>
          </w:p>
        </w:tc>
        <w:tc>
          <w:tcPr>
            <w:tcW w:w="7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FF0FC"/>
          </w:tcPr>
          <w:p>
            <w:pPr>
              <w:spacing w:after="0"/>
              <w:rPr>
                <w:sz w:val="20"/>
                <w:szCs w:val="20"/>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70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(78,258 )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(55,268 )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(75,405 )</w:t>
            </w:r>
          </w:p>
        </w:tc>
      </w:tr>
      <w:tr>
        <w:trPr>
          <w:trHeight w:val="219"/>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70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(32,773 )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(11,531 )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(6,659 )</w:t>
            </w:r>
          </w:p>
        </w:tc>
      </w:tr>
      <w:tr>
        <w:trPr>
          <w:trHeight w:val="238"/>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Prepayments</w:t>
            </w:r>
          </w:p>
        </w:tc>
        <w:tc>
          <w:tcPr>
            <w:tcW w:w="70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(11,413 )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(6,409 )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(11,238 )</w:t>
            </w:r>
          </w:p>
        </w:tc>
      </w:tr>
      <w:tr>
        <w:trPr>
          <w:trHeight w:val="219"/>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liabilities (deferred income)</w:t>
            </w:r>
          </w:p>
        </w:tc>
        <w:tc>
          <w:tcPr>
            <w:tcW w:w="70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(7,080 )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100" w:type="dxa"/>
            <w:vAlign w:val="bottom"/>
          </w:tcPr>
          <w:p>
            <w:pPr>
              <w:spacing w:after="0"/>
              <w:rPr>
                <w:sz w:val="19"/>
                <w:szCs w:val="19"/>
                <w:color w:val="auto"/>
              </w:rPr>
            </w:pPr>
          </w:p>
        </w:tc>
      </w:tr>
      <w:tr>
        <w:trPr>
          <w:trHeight w:val="238"/>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Trade payables, accrued expenses and other payables</w:t>
            </w:r>
          </w:p>
        </w:tc>
        <w:tc>
          <w:tcPr>
            <w:tcW w:w="7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45,943</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39,186</w:t>
            </w:r>
          </w:p>
        </w:tc>
        <w:tc>
          <w:tcPr>
            <w:tcW w:w="100" w:type="dxa"/>
            <w:vAlign w:val="bottom"/>
            <w:shd w:val="clear" w:color="auto" w:fill="CFF0FC"/>
          </w:tcPr>
          <w:p>
            <w:pPr>
              <w:spacing w:after="0"/>
              <w:rPr>
                <w:sz w:val="20"/>
                <w:szCs w:val="20"/>
                <w:color w:val="auto"/>
              </w:rPr>
            </w:pPr>
          </w:p>
        </w:tc>
      </w:tr>
      <w:tr>
        <w:trPr>
          <w:trHeight w:val="222"/>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Increase/(decrease) in provisions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26,187</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tcPr>
          <w:p>
            <w:pPr>
              <w:spacing w:after="0"/>
              <w:rPr>
                <w:sz w:val="19"/>
                <w:szCs w:val="19"/>
                <w:color w:val="auto"/>
              </w:rPr>
            </w:pPr>
          </w:p>
        </w:tc>
      </w:tr>
      <w:tr>
        <w:trPr>
          <w:trHeight w:val="22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generated from/(used in) operations</w:t>
            </w:r>
          </w:p>
        </w:tc>
        <w:tc>
          <w:tcPr>
            <w:tcW w:w="70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(464,271 )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(494,673 )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(419,657 )</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income received</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17,048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19"/>
                <w:szCs w:val="19"/>
                <w:color w:val="auto"/>
              </w:rPr>
            </w:pP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expenses paid</w:t>
            </w:r>
          </w:p>
        </w:tc>
        <w:tc>
          <w:tcPr>
            <w:tcW w:w="70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(15,672 )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(9,294 )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(1,841 )</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received/(paid)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(4,466 )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9"/>
                <w:szCs w:val="19"/>
                <w:color w:val="auto"/>
              </w:rPr>
            </w:pPr>
          </w:p>
        </w:tc>
      </w:tr>
      <w:tr>
        <w:trPr>
          <w:trHeight w:val="23"/>
        </w:trPr>
        <w:tc>
          <w:tcPr>
            <w:tcW w:w="6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operating activities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(467,361 )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(495,699 )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(417,649 )</w:t>
            </w:r>
          </w:p>
        </w:tc>
      </w:tr>
      <w:tr>
        <w:trPr>
          <w:trHeight w:val="220"/>
        </w:trPr>
        <w:tc>
          <w:tcPr>
            <w:tcW w:w="6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associate</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(10,187 )</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70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(2,442 )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(14,489 )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(23,704 )</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Reimbursement for acquisition of property, plant and equipment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Development expenditures (software)</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(530 )</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(213,842 )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(226,038 )</w:t>
            </w:r>
          </w:p>
        </w:tc>
      </w:tr>
      <w:tr>
        <w:trPr>
          <w:trHeight w:val="232"/>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 of marketable securities</w:t>
            </w:r>
          </w:p>
        </w:tc>
        <w:tc>
          <w:tcPr>
            <w:tcW w:w="7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288,865</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280,528</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investing activities</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286,474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61,732</w:t>
            </w:r>
          </w:p>
        </w:tc>
        <w:tc>
          <w:tcPr>
            <w:tcW w:w="2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(110,579 )</w:t>
            </w:r>
          </w:p>
        </w:tc>
      </w:tr>
      <w:tr>
        <w:trPr>
          <w:trHeight w:val="22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tc>
        <w:tc>
          <w:tcPr>
            <w:tcW w:w="70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(10,438 )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(6,356 )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(6,429 )</w:t>
            </w: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proceeds from borrowings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136,256</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503,281</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10,286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00" w:type="dxa"/>
            <w:vAlign w:val="bottom"/>
          </w:tcPr>
          <w:p>
            <w:pPr>
              <w:spacing w:after="0"/>
              <w:rPr>
                <w:sz w:val="19"/>
                <w:szCs w:val="19"/>
                <w:color w:val="auto"/>
              </w:rPr>
            </w:pP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proceeds from follow-on public offerings</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367,884</w:t>
            </w:r>
          </w:p>
        </w:tc>
        <w:tc>
          <w:tcPr>
            <w:tcW w:w="100" w:type="dxa"/>
            <w:vAlign w:val="bottom"/>
            <w:shd w:val="clear" w:color="auto" w:fill="CFF0FC"/>
          </w:tcPr>
          <w:p>
            <w:pPr>
              <w:spacing w:after="0"/>
              <w:rPr>
                <w:sz w:val="20"/>
                <w:szCs w:val="20"/>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treasury shares, net of transactions costs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(105,305 )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(21,605 )</w:t>
            </w:r>
          </w:p>
        </w:tc>
      </w:tr>
      <w:tr>
        <w:trPr>
          <w:trHeight w:val="232"/>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 of withholding taxes under stock incentive programs</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(1,812 )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6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financing activities</w:t>
            </w:r>
          </w:p>
        </w:tc>
        <w:tc>
          <w:tcPr>
            <w:tcW w:w="7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134,292</w:t>
            </w:r>
          </w:p>
        </w:tc>
        <w:tc>
          <w:tcPr>
            <w:tcW w:w="220" w:type="dxa"/>
            <w:vAlign w:val="bottom"/>
            <w:tcBorders>
              <w:top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396,773</w:t>
            </w:r>
          </w:p>
        </w:tc>
        <w:tc>
          <w:tcPr>
            <w:tcW w:w="200" w:type="dxa"/>
            <w:vAlign w:val="bottom"/>
            <w:tcBorders>
              <w:top w:val="single" w:sz="8" w:color="CFF0FC"/>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351,387</w:t>
            </w:r>
          </w:p>
        </w:tc>
        <w:tc>
          <w:tcPr>
            <w:tcW w:w="100" w:type="dxa"/>
            <w:vAlign w:val="bottom"/>
            <w:tcBorders>
              <w:top w:val="single" w:sz="8" w:color="CFF0FC"/>
            </w:tcBorders>
          </w:tcPr>
          <w:p>
            <w:pPr>
              <w:spacing w:after="0"/>
              <w:rPr>
                <w:sz w:val="19"/>
                <w:szCs w:val="19"/>
                <w:color w:val="auto"/>
              </w:rPr>
            </w:pPr>
          </w:p>
        </w:tc>
      </w:tr>
      <w:tr>
        <w:trPr>
          <w:trHeight w:val="222"/>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(46,595 )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(37,194 )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(176,841 )</w:t>
            </w:r>
          </w:p>
        </w:tc>
      </w:tr>
      <w:tr>
        <w:trPr>
          <w:trHeight w:val="219"/>
        </w:trPr>
        <w:tc>
          <w:tcPr>
            <w:tcW w:w="6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January 1</w:t>
            </w:r>
          </w:p>
        </w:tc>
        <w:tc>
          <w:tcPr>
            <w:tcW w:w="7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444,767</w:t>
            </w:r>
          </w:p>
        </w:tc>
        <w:tc>
          <w:tcPr>
            <w:tcW w:w="220" w:type="dxa"/>
            <w:vAlign w:val="bottom"/>
            <w:tcBorders>
              <w:top w:val="single" w:sz="8" w:color="CFF0FC"/>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446,267</w:t>
            </w:r>
          </w:p>
        </w:tc>
        <w:tc>
          <w:tcPr>
            <w:tcW w:w="200" w:type="dxa"/>
            <w:vAlign w:val="bottom"/>
            <w:tcBorders>
              <w:top w:val="single" w:sz="8" w:color="CFF0FC"/>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584,517</w:t>
            </w:r>
          </w:p>
        </w:tc>
        <w:tc>
          <w:tcPr>
            <w:tcW w:w="100" w:type="dxa"/>
            <w:vAlign w:val="bottom"/>
            <w:tcBorders>
              <w:top w:val="single" w:sz="8" w:color="CFF0FC"/>
            </w:tcBorders>
          </w:tcPr>
          <w:p>
            <w:pPr>
              <w:spacing w:after="0"/>
              <w:rPr>
                <w:sz w:val="19"/>
                <w:szCs w:val="19"/>
                <w:color w:val="auto"/>
              </w:rPr>
            </w:pPr>
          </w:p>
        </w:tc>
      </w:tr>
      <w:tr>
        <w:trPr>
          <w:trHeight w:val="232"/>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balances held in foreign currencies</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(6,008 )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35,694</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38,591</w:t>
            </w:r>
          </w:p>
        </w:tc>
        <w:tc>
          <w:tcPr>
            <w:tcW w:w="100" w:type="dxa"/>
            <w:vAlign w:val="bottom"/>
            <w:shd w:val="clear" w:color="auto" w:fill="CFF0FC"/>
          </w:tcPr>
          <w:p>
            <w:pPr>
              <w:spacing w:after="0"/>
              <w:rPr>
                <w:sz w:val="20"/>
                <w:szCs w:val="20"/>
                <w:color w:val="auto"/>
              </w:rPr>
            </w:pPr>
          </w:p>
        </w:tc>
      </w:tr>
      <w:tr>
        <w:trPr>
          <w:trHeight w:val="222"/>
        </w:trPr>
        <w:tc>
          <w:tcPr>
            <w:tcW w:w="6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December 31</w:t>
            </w:r>
          </w:p>
        </w:tc>
        <w:tc>
          <w:tcPr>
            <w:tcW w:w="7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392,164</w:t>
            </w:r>
          </w:p>
        </w:tc>
        <w:tc>
          <w:tcPr>
            <w:tcW w:w="220" w:type="dxa"/>
            <w:vAlign w:val="bottom"/>
            <w:tcBorders>
              <w:top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444,767</w:t>
            </w:r>
          </w:p>
        </w:tc>
        <w:tc>
          <w:tcPr>
            <w:tcW w:w="200" w:type="dxa"/>
            <w:vAlign w:val="bottom"/>
            <w:tcBorders>
              <w:top w:val="single" w:sz="8" w:color="CFF0FC"/>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446,267</w:t>
            </w:r>
          </w:p>
        </w:tc>
        <w:tc>
          <w:tcPr>
            <w:tcW w:w="100" w:type="dxa"/>
            <w:vAlign w:val="bottom"/>
            <w:tcBorders>
              <w:top w:val="single" w:sz="8" w:color="CFF0FC"/>
            </w:tcBorders>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include:</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deposits</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392,164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427,810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441,736</w:t>
            </w:r>
          </w:p>
        </w:tc>
        <w:tc>
          <w:tcPr>
            <w:tcW w:w="100" w:type="dxa"/>
            <w:vAlign w:val="bottom"/>
          </w:tcPr>
          <w:p>
            <w:pPr>
              <w:spacing w:after="0"/>
              <w:rPr>
                <w:sz w:val="19"/>
                <w:szCs w:val="19"/>
                <w:color w:val="auto"/>
              </w:rPr>
            </w:pPr>
          </w:p>
        </w:tc>
      </w:tr>
      <w:tr>
        <w:trPr>
          <w:trHeight w:val="232"/>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7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16,957</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December 31</w:t>
            </w:r>
          </w:p>
        </w:tc>
        <w:tc>
          <w:tcPr>
            <w:tcW w:w="7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392,164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444,767</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446,267</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5207000</wp:posOffset>
            </wp:positionH>
            <wp:positionV relativeFrom="paragraph">
              <wp:posOffset>-3749675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-3749675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-3749675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-2579370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-2579370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-2579370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-1400175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-1400175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-1400175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-1092835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-1092835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-1092835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-793750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-793750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-793750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-179070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-179070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Note 1—General Information</w:t>
      </w:r>
    </w:p>
    <w:p>
      <w:pPr>
        <w:spacing w:after="0" w:line="12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Ascendis Pharma A/S, together with its subsidiaries, is applying its innovative TransCon technologies to build a leading, fully integrated, global biopharma company. Ascendis Pharma A/S was incorporated in 2006 and is headquartered in Hellerup, Denmark. Unless the context otherwise requires, references to the “Company,” “we,” “us,” and “our,” refer to Ascendis Pharma A/S and its subsidiaries.</w:t>
      </w:r>
    </w:p>
    <w:p>
      <w:pPr>
        <w:spacing w:after="0" w:line="17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The address of the Company’s registered office is Tuborg Boulevard 12, DK-2900 Hellerup, Denmark. The Company’s registration number in Denmark is 29918791.</w:t>
      </w:r>
    </w:p>
    <w:p>
      <w:pPr>
        <w:spacing w:after="0" w:line="163"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On February 2, 2015, the Company completed an initial public offering (“IPO”), which resulted in the listing of American Depositary Shares (“ADSs”), representing the Company’s ordinary shares, under the symbol “ASND” in the United States on The Nasdaq Global Select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approved these consolidated financial statements on February 7, 2024.</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IFRS Accounting Standards (“IFRS”), as issued by the International Accounting Standards Board (“IASB”), and as adopted by the European Union (the “EU”).</w:t>
      </w:r>
    </w:p>
    <w:p>
      <w:pPr>
        <w:spacing w:after="0" w:line="163" w:lineRule="exact"/>
        <w:rPr>
          <w:sz w:val="20"/>
          <w:szCs w:val="20"/>
          <w:color w:val="auto"/>
        </w:rPr>
      </w:pPr>
    </w:p>
    <w:p>
      <w:pPr>
        <w:ind w:right="740"/>
        <w:spacing w:after="0" w:line="265" w:lineRule="auto"/>
        <w:rPr>
          <w:sz w:val="20"/>
          <w:szCs w:val="20"/>
          <w:color w:val="auto"/>
        </w:rPr>
      </w:pPr>
      <w:r>
        <w:rPr>
          <w:rFonts w:ascii="Times New Roman" w:cs="Times New Roman" w:eastAsia="Times New Roman" w:hAnsi="Times New Roman"/>
          <w:sz w:val="18"/>
          <w:szCs w:val="18"/>
          <w:color w:val="auto"/>
        </w:rPr>
        <w:t>The accounting policies applied when preparing the consolidated financial statements are described in detail below and are applied for all entities. Significant accounting judgements and sources of estimation uncertainties used when exercising the accounting policies are described in Note 3, “Significant Accounting Judgements and Estimates”.</w:t>
      </w:r>
    </w:p>
    <w:p>
      <w:pPr>
        <w:spacing w:after="0" w:line="17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under the historical cost convention, apart from certain financial instruments that are measured at fair value at initial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Several amendments to and interpretations of IFRS applied for the first time in 2023, which have not had an impact on the accounting policies applied by the Company. Thus, the accounting policies applied when preparing these consolidated financial statements have been applied consistently to all the periods presented.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to Presentation of Borrowings</w:t>
      </w:r>
    </w:p>
    <w:p>
      <w:pPr>
        <w:spacing w:after="0" w:line="1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At December 31, 2022, lease liabilities were presented as part of borrowings in the consolidated statements of financial position. At December 31, 2022, the carrying amount of lease liabilities was €95.4 million and €13.8 million, for non-current liabilities and current liabilities, respectively.</w:t>
      </w:r>
    </w:p>
    <w:p>
      <w:pPr>
        <w:spacing w:after="0" w:line="16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In connection with entering into additional borrowing activities in September 2023, lease liabilities are presented separately in the consolidated statements of financial position, Comparative figures have been reclassified to reflect the change in presentation. Accordingly, borrowings comprise convertible senior notes and royalty funding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to presentation had no other impact on the consolidated financial statements.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0"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The Company’s Board of Directors has at the time of approving the consolidated financial statements, a reasonable expectation that the Company has adequate resources to continue in operational existence for the foreseeable future. Thus, the Company continues to adopt the going concern basis of accounting in preparing the consolidated financial statements.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include the parent company, Ascendis Pharma A/S, and all enterprises over which the parent company has control. Control of an enterprise exists when the Company has exposure, or rights to, variable returns from its involvement with the enterprise and has the ability to control those returns through its power over the enterprise. Accordingly, the consolidated financial statements include Ascendis Pharma A/S and the subsidiaries listed in Note 20, “Investment in Group Enterprises”.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Principles</w:t>
      </w:r>
    </w:p>
    <w:p>
      <w:pPr>
        <w:spacing w:after="0" w:line="12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Subsidiaries, which are enterprises the Company controls, are fully consolidated from the date upon which control is transferred to the Company. They are deconsolidated from the date control ceases.</w:t>
      </w:r>
    </w:p>
    <w:p>
      <w:pPr>
        <w:spacing w:after="0" w:line="163" w:lineRule="exact"/>
        <w:rPr>
          <w:sz w:val="20"/>
          <w:szCs w:val="20"/>
          <w:color w:val="auto"/>
        </w:rPr>
      </w:pPr>
    </w:p>
    <w:p>
      <w:pPr>
        <w:ind w:right="800"/>
        <w:spacing w:after="0" w:line="280" w:lineRule="auto"/>
        <w:rPr>
          <w:sz w:val="20"/>
          <w:szCs w:val="20"/>
          <w:color w:val="auto"/>
        </w:rPr>
      </w:pPr>
      <w:r>
        <w:rPr>
          <w:rFonts w:ascii="Times New Roman" w:cs="Times New Roman" w:eastAsia="Times New Roman" w:hAnsi="Times New Roman"/>
          <w:sz w:val="18"/>
          <w:szCs w:val="18"/>
          <w:color w:val="auto"/>
        </w:rPr>
        <w:t>Control over an enterprise is reassessed if facts and circumstances indicate that there are changes to one or more of the three elements of control, respectively:</w:t>
      </w:r>
    </w:p>
    <w:p>
      <w:pPr>
        <w:spacing w:after="0" w:line="55" w:lineRule="exact"/>
        <w:rPr>
          <w:sz w:val="20"/>
          <w:szCs w:val="20"/>
          <w:color w:val="auto"/>
        </w:rPr>
      </w:pPr>
    </w:p>
    <w:p>
      <w:pPr>
        <w:ind w:left="1020" w:hanging="504"/>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with the other vote holders of the enterprise;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voting rights and potential voting rights;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w:t>
      </w:r>
    </w:p>
    <w:p>
      <w:pPr>
        <w:spacing w:after="0" w:line="22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group enterprises are eliminated in full on consolidation.</w:t>
      </w:r>
    </w:p>
    <w:p>
      <w:pPr>
        <w:spacing w:after="0" w:line="163"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color w:val="auto"/>
        </w:rPr>
        <w:t>Subsidiaries apply accounting policies in line with the Company’s accounting policies. When necessary, adjustments are made to bring the entities’ accounting policies in line with those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Associates</w:t>
      </w:r>
    </w:p>
    <w:p>
      <w:pPr>
        <w:spacing w:after="0" w:line="11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An associate is an entity over which the Company has significant influence over financial and operational decisions but without having control or joint control. The Company’s associate is accounted for using the equity method and is initially recognized at cost. Thereafter, the carrying amount of the investment is adjusted to recognize changes in the Company’s share of net assets of the associate since the acquisition or establishment date.</w:t>
      </w:r>
    </w:p>
    <w:p>
      <w:pPr>
        <w:spacing w:after="0" w:line="17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The consolidated statements of profit or loss include the Company’s share of result after tax of the associate after any adjustments made to bring the associate’s accounting policies in line with those of the Company. Transactions between the associate and the Company are eliminated proportionally according to the Company’s interest in the associate. Unrealized gains and losses resulting from transactions between the Company and its associate are eliminated to the extent of the Company’s interest in the associate.</w:t>
      </w:r>
    </w:p>
    <w:p>
      <w:pPr>
        <w:spacing w:after="0" w:line="18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On each reporting date, the Company determines whether there are indications that the investment is impaired. If there is such evidence, the amount of impairment is calculated as the difference between the recoverable amount of the associate and its carrying amount. Any impairment loss is recognized in the consolidated statements of profit or loss.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and Presentation Currency</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Euros (“EUR”), which is also the functional currency of the parent company.</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i w:val="1"/>
          <w:iCs w:val="1"/>
          <w:color w:val="auto"/>
        </w:rPr>
        <w:t>Translation of Transactions and Balances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reporting date are translated using the exchange rate in effect at the reporting date. Monetary items carried at fair value that are denominated in foreign currencies are translated at the rates prevailing at the date when the fair value was determined.</w:t>
      </w:r>
    </w:p>
    <w:p>
      <w:pPr>
        <w:spacing w:after="0" w:line="183"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Exchange rate differences that arise between the rate at the transaction date and the rate in effect at the payment date, or the rate at the reporting date, are recognized in profit or loss as finance income or finance expenses. Property, plant and equipment, intangible assets and other non-monetary items that are measured in terms of historical cost in a foreign currency are translated using the exchange rates as of the dates of the initial transactions.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of Group Enterprises</w:t>
      </w:r>
    </w:p>
    <w:p>
      <w:pPr>
        <w:spacing w:after="0" w:line="11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When subsidiaries or the associate present their financial statements in a functional currency other than EUR, their statements of profit or loss are translated at average exchange rates. Balance sheet items are translated using the exchange rates at the reporting date. Exchange rate differences arising from translation of foreign entities’ balance sheet items at the beginning of the year to the reporting date exchange rates as well as from translation of statements of profit or loss from average rates to the exchange rates at the reporting date are recognized in other comprehensive income. Similarly, exchange rate differences arising from changes that have been made directly in a foreign subsidiary’s equity are recognized in other comprehensive income.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Commercial Sale of Products</w:t>
      </w:r>
    </w:p>
    <w:p>
      <w:pPr>
        <w:spacing w:after="0" w:line="11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Revenue is recognized when the customer has obtained control of the goods and it is probable that the Company will collect the consideration to which it is entitled for transferring the goods. Control is transferred upon delivery.</w:t>
      </w:r>
    </w:p>
    <w:p>
      <w:pPr>
        <w:spacing w:after="0" w:line="16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Revenue is measured at the contractual sales price, reflecting the consideration received or receivable from customers, net of value added taxes, and provisions for a variety of sales deductions such as prompt pay discounts, shelf stock adjustments and applicable sales rebates attributable to various commercial arrangements, managed healthcare organizations, government programs, and co-pay arrangements. In addition, goods are principally sold on a “sale-or-return” basis, where customers may return products in line with the Company’s return policy. Sales deductions and product returns are considered variable consideration and are estimated at the time of sale using the expected value method. The amount of variable consideration that is included in the transaction price may be constrained and is included in the net contractual price only to the extent that it is probable that a significant reversal will not occur.</w:t>
      </w:r>
    </w:p>
    <w:p>
      <w:pPr>
        <w:spacing w:after="0" w:line="172"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8"/>
          <w:szCs w:val="18"/>
          <w:color w:val="auto"/>
        </w:rPr>
        <w:t>Unsettled sales rebates and product returns are recognized as provisions when timing or amount is uncertain. Payable amounts that are absolute are recognized as other liabilities. Sales discounts and rebates that are payable to customers are offset in trade receivables.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Other revenue relates to collaboration and license agreements. In addition, other revenue is generated from feasibility studies for potential partners to evaluate if TransCon technologies enable certain advantages for their product candidates of interest. Such feasibility studies are often structured as short-term agreements with fixed fees for the work that the Company performs.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color w:val="auto"/>
        </w:rPr>
        <w:t>When contracts with customers are entered into, the goods and/or services promised in the contract are assessed to identify distinct performance obligations.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promise in the agreement is considered a distinct performance obligation if both of the following criteria are met:</w:t>
      </w:r>
    </w:p>
    <w:p>
      <w:pPr>
        <w:spacing w:after="0" w:line="97" w:lineRule="exact"/>
        <w:rPr>
          <w:sz w:val="20"/>
          <w:szCs w:val="20"/>
          <w:color w:val="auto"/>
        </w:rPr>
      </w:pPr>
    </w:p>
    <w:p>
      <w:pPr>
        <w:ind w:left="1020" w:right="120" w:hanging="504"/>
        <w:spacing w:after="0" w:line="280" w:lineRule="auto"/>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55"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6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Under collaboration, license, and other agreements that contain multiple promises to the customer, the promises are identified and accounted for as separate performance obligations, if these are distinct. If promises are not distinct, those goods or services are combined with other promised goods or services until a bundle of goods or services that is distinct is identified.</w:t>
      </w:r>
    </w:p>
    <w:p>
      <w:pPr>
        <w:spacing w:after="0" w:line="1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transaction price in the contract is measured at fair value and reflects the consideration the Company expects to be entitled to in exchange for those goods or services. Under license agreements, the transaction price may include up-front payments, royalty and milestone payments. Sales-based royalty and sales-based milestone income promised in exchange for a license of intellectual property is recognized as revenue at the later of the occurrence of subsequent sale or satisfaction of the performance obligation to which some of the royalty has been allocated. Milestone income related to regulatory activities is included in the transaction price at the point in time that it is highly probable that the applicable criteria are met.</w:t>
      </w:r>
    </w:p>
    <w:p>
      <w:pPr>
        <w:spacing w:after="0" w:line="1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according to their stand-alone selling prices and is recognized when control of the goods or services is transferred to the customer, either over time or at a point in time, depending on the specific terms and conditions in the contracts. License agreements, which transfer rights to the Company's intellectual property (“IP”), are classified as “right-to-access”, with revenue recognized over time, or as “right-to-use” with revenue recognized at a point in time.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Research and development costs consist primarily of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the Company’s intellectual property portfolio, and depreciation of non-current assets related to research and development activities.</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Research costs are incurred at the early stages of the drug development cycle from the initial drug discovery and include a variety of preclinical research activities in order to assess potential drug candidates in non-human subjects, prior to filing an Investigational New Drug Application (“IND”), or equivalent. Research costs are recognized in the consolidated statement of profit or loss when incurred.</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Development activities relate to activities following an IND, or equivalent, and typically involve a single product candidate undergoing a series of studies to illustrate its safety profile and effect on human beings, prior to obtaining the necessary approval from the appropriate authorities. Development activities comprise drug candidates undergoing clinical trials starting in phase I (first time drug is administered in a small group of humans), and further into Phase II and III, which include administration of drugs in larger patient groups. Following, and depending on clinical trial results, a Biologic License Application (“BLA”) or New Drug Application (“NDA”) may be submitted to the authorities, to apply for marketing approval, which, with a positive outcome will permit the Company to market and sell the products. Long-term extension trials may be ongoing following submission of a BLA or NDA.</w:t>
      </w:r>
    </w:p>
    <w:p>
      <w:pPr>
        <w:spacing w:after="0" w:line="18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Development costs also include product development and pre-commercial manufacturing costs related to development product candidates, and write-downs of inventories manufactured for late-stage development product candidates prior to marketing approval being obtained (pre-launch inventories).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2" w:name="page203"/>
    <w:bookmarkEnd w:id="202"/>
    <w:p>
      <w:pPr>
        <w:spacing w:after="0" w:line="265" w:lineRule="auto"/>
        <w:rPr>
          <w:sz w:val="20"/>
          <w:szCs w:val="20"/>
          <w:color w:val="auto"/>
        </w:rPr>
      </w:pPr>
      <w:r>
        <w:rPr>
          <w:rFonts w:ascii="Times New Roman" w:cs="Times New Roman" w:eastAsia="Times New Roman" w:hAnsi="Times New Roman"/>
          <w:sz w:val="18"/>
          <w:szCs w:val="18"/>
          <w:color w:val="auto"/>
        </w:rPr>
        <w:t>Due to the risk related to the development of pharmaceutical products, the Company cannot estimate the future economic benefits associated with individual development activities with sufficient certainty until the development activities have been finalized and the necessary market approval of the final product has been obtained. As a consequence, all development costs are recognized in the consolidated statement of profit or loss when incurred.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comprise salaries and other personnel costs including pension and share-based payment, office supplies, cost of facilities, professional fees, and depreciation of non-current assets related to selling, general and administrative activities, including pre-commercial and commercial activities. Selling, general and administrative expenses are recognized in the consolidated statement of profit or loss when incurred.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Programs</w:t>
      </w:r>
    </w:p>
    <w:p>
      <w:pPr>
        <w:spacing w:after="0" w:line="120"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Share-based incentive programs comprise warrant programs, Restricted Stock Unit programs (“RSU-programs”) and Performance Stock Unit Programs (“PSU-programs”). which are classified as equity-settled share-based payment transactions.</w:t>
      </w:r>
    </w:p>
    <w:p>
      <w:pPr>
        <w:spacing w:after="0" w:line="1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cost of equity-settled transactions is determined by the fair value at the date of grant. For warrant programs, the fair value of each warrant granted is determined using the Black-Scholes valuation model. For RSU-programs and PSU-programs, the fair value of each RSU or PSU granted is equal to the closing share price on the date of grant of the underlying ADS. Any social security contributions payable in connection with the grant or exercise of the warrants are recognized as expenses when incurred. The assumptions used for estimating the fair value of share-based payment transactions are disclosed in Note 7, “Share-based Payment”.</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cost is recognized together with a corresponding increase in equity over the period in which the performance and/or service conditions are fulfilled (i.e., the vesting period). The fair value determined at the grant date of the equity-settled share-based payment is expensed on a straight-line basis over the vesting period for each tranche, based on the best estimate of the number of equity instruments that will ultimately vest. No expense is recognized for grants that do not ultimately vest.</w:t>
      </w:r>
    </w:p>
    <w:p>
      <w:pPr>
        <w:spacing w:after="0" w:line="18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Where an equity-settled grant is cancelled other than upon forfeiture when vesting conditions are not satisfied, the grant is treated as if it vested on the date of the cancellation, and any expense not yet recognized for the grant is recognized immediately.</w:t>
      </w:r>
    </w:p>
    <w:p>
      <w:pPr>
        <w:spacing w:after="0" w:line="16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Where the terms and conditions for an equity-settled grant are modified, the services measured at the grant date fair value over the vesting period are recognized, subject to performance and/or service conditions that were specified at the initial grant date(s). Additionally, at the date of modification, unvested grants are re-measured and any increase in the total fair value is recognized over the vesting period. If a new grant is substituted for the cancelled grant and designated as a replacement grant on the date that it is granted, the cancelled and new grants are treated as if they were a modification of the original grant.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Expenses</w:t>
      </w:r>
    </w:p>
    <w:p>
      <w:pPr>
        <w:spacing w:after="0" w:line="120" w:lineRule="exact"/>
        <w:rPr>
          <w:sz w:val="20"/>
          <w:szCs w:val="20"/>
          <w:color w:val="auto"/>
        </w:rPr>
      </w:pPr>
    </w:p>
    <w:p>
      <w:pPr>
        <w:jc w:val="both"/>
        <w:ind w:right="120"/>
        <w:spacing w:after="0" w:line="311" w:lineRule="auto"/>
        <w:rPr>
          <w:sz w:val="20"/>
          <w:szCs w:val="20"/>
          <w:color w:val="auto"/>
        </w:rPr>
      </w:pPr>
      <w:r>
        <w:rPr>
          <w:rFonts w:ascii="Times New Roman" w:cs="Times New Roman" w:eastAsia="Times New Roman" w:hAnsi="Times New Roman"/>
          <w:sz w:val="17"/>
          <w:szCs w:val="17"/>
          <w:color w:val="auto"/>
        </w:rPr>
        <w:t>Finance income and expenses comprise interest income and expenses, realized and unrealized exchange rate gains and losses on transactions denominated in foreign currencies, fair value remeasurement gains and losses on derivative liabilities, and remeasurement gains and losses on royalty funding liabilities.</w:t>
      </w:r>
    </w:p>
    <w:p>
      <w:pPr>
        <w:spacing w:after="0" w:line="13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Interest income and interest expenses are stated on an accrual basis using the principal and the effective interest rate. The effective interest rate is the discount rate that is used to discount expected future cash payments or receipts through the expected life of the financial asset or financial liability to the amortized cost (the carrying amount) of such asset or liability.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consolidated statement of financial position, stated as tax computed on this year’s taxable income, adjusted for prepaid tax.</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When computing the current tax for the year, the tax rates and tax rules enacted or substantially enacted at the reporting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In addition, taxable profit or loss excludes items that are never taxable or deductible.</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profit or loss nor taxable income.</w:t>
      </w:r>
    </w:p>
    <w:p>
      <w:pPr>
        <w:spacing w:after="0" w:line="183" w:lineRule="exact"/>
        <w:rPr>
          <w:sz w:val="20"/>
          <w:szCs w:val="20"/>
          <w:color w:val="auto"/>
        </w:rPr>
      </w:pPr>
    </w:p>
    <w:p>
      <w:pPr>
        <w:jc w:val="both"/>
        <w:ind w:right="260"/>
        <w:spacing w:after="0" w:line="311" w:lineRule="auto"/>
        <w:rPr>
          <w:sz w:val="20"/>
          <w:szCs w:val="20"/>
          <w:color w:val="auto"/>
        </w:rPr>
      </w:pPr>
      <w:r>
        <w:rPr>
          <w:rFonts w:ascii="Times New Roman" w:cs="Times New Roman" w:eastAsia="Times New Roman" w:hAnsi="Times New Roman"/>
          <w:sz w:val="17"/>
          <w:szCs w:val="17"/>
          <w:color w:val="auto"/>
        </w:rPr>
        <w:t>Deferred tax liabilities are recognized on all temporary differences related to investments in subsidiaries and/or associates, unless the Company is able to control when the deferred tax is realized, and it is probable that the deferred tax will not become due and payable as current tax in the foreseeable future.</w:t>
      </w:r>
    </w:p>
    <w:p>
      <w:pPr>
        <w:spacing w:after="0" w:line="13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Deferred tax assets, including the tax base of tax loss carry forwards, are recognized in the statement of financial position at their estimated realizable value, either as a set-off against deferred tax liabilities or as net tax assets for offset against future positive taxable income. Deferred tax assets are only offset against deferred tax liabilities if the entity has a legally enforceable right to offset, and the deferred tax assets and deferred tax liabilities relate to income taxes levied by the same tax jurisdiction. Deferred tax is calculated based on the planned use of each asset and the settlement of each liability, respectively.</w:t>
      </w:r>
    </w:p>
    <w:p>
      <w:pPr>
        <w:spacing w:after="0" w:line="1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Deferred tax is measured using the tax rates and tax rules in the relevant countries that, based on acts in force or acts in reality in force at the reporting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 On every reporting date, it is assessed whether sufficient taxable income is likely to arise in the future for the deferred tax asset to be utilized.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Goodwill acquired in a business combination is initially measured at cost, being the excess of the aggregate of the consideration transferred and the amount recognized for non-controlling interests over the net identifiable assets acquired and liabilities assumed.</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cash-generating units to which goodwill is allocated represents the lowest level within the Company at which the goodwill is monitored for internal management purposes.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assets comprise administrative applications and serve general purposes to support the Company’s operations.</w:t>
      </w:r>
    </w:p>
    <w:p>
      <w:pPr>
        <w:spacing w:after="0" w:line="22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 (2) technological feasibility, adequate resources to complete, and an internal use of the software asset can be demonstrated; (3) the expenditure attributable to the software asset can be measured reliably; and (4) the Company has the intention to use the software asset internally. The Company does not capitalize software with no alternative use, or where economic benefit depends on marketing approvals of drug candidates and where marketing approvals have not been obtained.</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Following initial recognition of the development expenditure as an asset, the asset is carried at cost less any accumulated amortization and accumulated impairment losses. Amortization of the asset begins when the development is complete, and the asset is available for use. Software assets are amortized over the period of expected future benefits. Amortization is recognized in research and development costs, and selling, general and administrative expenses, as appropriate. Expenditures that do not meet the criteria above are recognized as an expense as incurred.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primarily comprises leasehold improvements, office facilities, and process equipment and tools which are located at CMOs.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also includes right-of-use assets. Refer to the separate section “Leases”.</w:t>
      </w:r>
    </w:p>
    <w:p>
      <w:pPr>
        <w:spacing w:after="0" w:line="20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Property, plant and equipment is measured at cost less accumulated depreciation and impairment losses. Cost comprises the acquisition price, costs directly attributable to the acquisition and preparation costs of the asset until the time when it is ready to be used in operation. Subsequent costs are included in the carrying amount of the asset or recognized as a separate asset, as appropriate, only when it is probable that future economic benefits associated with the assets will flow to the Company and costs of the items can be measured reliably. All repair and maintenance costs are charged to the consolidated statement of profit or loss during the financial periods in which they are incurred.</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Plant and equipment acquired for research and development activities with alternative use, which is expected to be used for more than one year, is capitalized and depreciated over the estimated useful life as research and development costs. Plant and equipment acquired for research and development activities, which has no alternative use, is recognized as research and development costs when incurred.</w:t>
      </w:r>
    </w:p>
    <w:p>
      <w:pPr>
        <w:spacing w:after="0" w:line="175"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If the acquisition or use of the asset involves an obligation to incur costs of decommissioning or restoration of the asset, the estimated related costs are recognized as a provision and as part of the relevant asset’s cost, respectively.</w:t>
      </w:r>
    </w:p>
    <w:p>
      <w:pPr>
        <w:spacing w:after="0" w:line="1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basis for depreciation is cost less estimated residual value. The residual value is the estimated amount that would be earned if selling the asset today net of selling costs, assuming that the asset is of an age and a condition that is expected after the end of its useful life. Cost of a combined asset is divided into smaller components, with such significant components depreciated individually if their useful lives vary. Depreciation commences when the asset is available for use, which is when it is in the location and condition necessary for it to be capable of operating in the manner intended.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Depreciation is calculated on a straight-line basis, based on an asset’s expected useful life, being within the following ranges: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40" w:type="dxa"/>
            <w:vAlign w:val="bottom"/>
          </w:tcPr>
          <w:p>
            <w:pPr>
              <w:spacing w:after="0"/>
              <w:rPr>
                <w:sz w:val="21"/>
                <w:szCs w:val="21"/>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Process plant and machinery</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38"/>
        </w:trPr>
        <w:tc>
          <w:tcPr>
            <w:tcW w:w="114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6"/>
        </w:trPr>
        <w:tc>
          <w:tcPr>
            <w:tcW w:w="1140" w:type="dxa"/>
            <w:vAlign w:val="bottom"/>
          </w:tcPr>
          <w:p>
            <w:pPr>
              <w:spacing w:after="0"/>
              <w:rPr>
                <w:sz w:val="21"/>
                <w:szCs w:val="21"/>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3 - 11 years</w:t>
            </w:r>
          </w:p>
        </w:tc>
      </w:tr>
      <w:tr>
        <w:trPr>
          <w:trHeight w:val="234"/>
        </w:trPr>
        <w:tc>
          <w:tcPr>
            <w:tcW w:w="114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2 - 11 years</w:t>
            </w:r>
          </w:p>
        </w:tc>
      </w:tr>
      <w:tr>
        <w:trPr>
          <w:trHeight w:val="331"/>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methods, useful lives and residual amounts are reassessed at least annually.</w:t>
            </w:r>
          </w:p>
        </w:tc>
        <w:tc>
          <w:tcPr>
            <w:tcW w:w="2300" w:type="dxa"/>
            <w:vAlign w:val="bottom"/>
          </w:tcPr>
          <w:p>
            <w:pPr>
              <w:spacing w:after="0"/>
              <w:rPr>
                <w:sz w:val="24"/>
                <w:szCs w:val="24"/>
                <w:color w:val="auto"/>
              </w:rPr>
            </w:pPr>
          </w:p>
        </w:tc>
      </w:tr>
    </w:tbl>
    <w:p>
      <w:pPr>
        <w:spacing w:after="0" w:line="19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Property, plant and equipment is written down to the lower of recoverable amount and carrying amount, as described in the “Impairment” section below. Depreciation and impairment losses of property, plant and equipment is recognized in the consolidated statement of profit or loss as cost of sales, research and development costs or as selling, general and administrative expenses, as appropriate.</w:t>
      </w:r>
    </w:p>
    <w:p>
      <w:pPr>
        <w:spacing w:after="0" w:line="17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Gains and losses on disposal of property, plant and equipment are recognized in the consolidated statement of profit or loss at its net proceeds, as either other operating income or other operating expenses, as appropriate.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2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The recoverable amount of goodwill is estimated annually irrespective of any recorded indications of impairment. Property, plant and equipment and finite-lived intangible assets are reviewed for impairment whenever events or circumstances indicate that the carrying amount may not be recoverable.</w:t>
      </w:r>
    </w:p>
    <w:p>
      <w:pPr>
        <w:spacing w:after="0" w:line="16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non-financial assets, other than goodwill, are reviewed for possible reversal at each reporting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0"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Inventories comprise raw materials, work in progress and finished goods. The cost of work in progress and finished goods comprise service expenses incurred at CMOs, raw materials consumed, incremental storage and transportation, other direct materials, and a proportion of manufacturing overheads based on normal operation capacity.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Inventories are measured at the lower of cost incurred in bringing it to its present location and condition, and net realizable value. Net realizable value is the estimated selling price in the ordinary course of business, less estimated costs of completion and the estimated costs necessary to make the sale. Cost is measured using the first-in, first-out method. Work in progress and finished goods are measured under a standard cost method that takes into account normal levels of consumption, yields, labor, efficiency and capacity utilization. Production processes are complex, where actual yields and consumptions are sensitive to a wide variety of manufacturing conditions. Standard cost variances are reviewed regularly and adjusted to ensure inventories approximate actual cost of production.</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net realizable value is lower than cost, a write-down is recognized as the excess amount by which cost exceeds net realizable value, as part of cost of sales when incurred. The amount of reversal of write-down of inventories arising from an increase in net realizable value is recognized as a reduction in cost of sales in the period in which the reversal occurs.</w:t>
      </w:r>
    </w:p>
    <w:p>
      <w:pPr>
        <w:spacing w:after="0" w:line="17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Manufacturing of pre-launch inventories is initiated for late-stage product candidates where manufacturing costs are recognized as inventories. However, since pre-launch inventories are not realizable prior to obtaining marketing approval, pre-launch inventories are immediately written down to zero through research and development costs. If marketing approval is obtained, prior write-downs of pre-launch inventories are reversed through research and development costs.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color w:val="auto"/>
        </w:rPr>
        <w:t>Cost of inventories is recognized as part of cost of sales in the period in which the related revenue is recognized.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comprise trade receivables, income tax receivables and other receivables.</w:t>
      </w:r>
    </w:p>
    <w:p>
      <w:pPr>
        <w:spacing w:after="0" w:line="223"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Trade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Income tax receivables, and other receivables related to deposits, VAT and other indirect taxes are measured at cost less impairment. Carrying amounts of receivables usually equals their nominal value less provision for impairments.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comprise advance payments relating to a future financial period. Prepayments are measured at cost.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may comprise government bonds, treasury bills, commercial papers, and other securities traded on established markets.</w:t>
      </w:r>
    </w:p>
    <w:p>
      <w:pPr>
        <w:spacing w:after="0" w:line="22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At initial recognition (trade-date), contractual terms of individual securities are analyzed to determine whether these give rise on specified dates to cash flows that are solely payments of principal and interest on the principal outstanding ("SPPI-test"). All marketable securities held at the reporting date have passed the SPPI-test.</w:t>
      </w:r>
    </w:p>
    <w:p>
      <w:pPr>
        <w:spacing w:after="0" w:line="17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Marketable securities are initially recognized at fair value at trade-date, and subsequently measured at amortized cost under the effective interest method. Interest income is recognized as finance income in the consolidated statement of profit or loss. Marketable securities are subject to an impairment test to accommodate expected credit loss. Gains and losses are recognized as finance income or expenses in the consolidated statement of profit or loss when the specific security or portfolio of securities is derecognized, modified or impaired.</w:t>
      </w:r>
    </w:p>
    <w:p>
      <w:pPr>
        <w:spacing w:after="0" w:line="183"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Marketable securities, having maturity profiles of three months or less after the date of acquisition are presented as cash equivalents in the consolidated statements of financial position, where securities having maturities of more than three months after the date of acquisition are presented separately as marketable securities as current (i.e., those maturing within twelve months after the reporting date) or non-current assets, as appropriate.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Cash and cash equivalents comprise cash and on-demand deposits with financial institutions, and highly liquid marketable securities with a maturity of three months or less after the date of acquisition (trade-date). Cash and cash equivalents are measured at amortized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 on Financial Assets</w:t>
      </w:r>
    </w:p>
    <w:p>
      <w:pPr>
        <w:spacing w:after="0" w:line="12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Financial assets comprise receivables (excluding receivables relating to VAT, other indirect tax and income tax), marketable securities and cash and cash equivalents. Impairment of financial assets is determined on the basis of a forward-looking Expected Credit Loss (“ECL”) model. ECLs are based on the difference between the contractual cash flows due in accordance with the contract and the cash flows expected to be received, discounted by an approximation of the original effective interest rate.</w:t>
      </w:r>
    </w:p>
    <w:p>
      <w:pPr>
        <w:spacing w:after="0" w:line="1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For receivables, a simplified approach in calculating ECLs is applied. Therefore, changes in credit risks are not tracked, but instead, a loss allowance based on lifetime ECL is assessed at each reporting date. Lifetime ECLs are assessed on historical credit loss experience, adjusted for forward-looking factors specific to the counterparts and the economic environment.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7" w:name="page208"/>
    <w:bookmarkEnd w:id="207"/>
    <w:p>
      <w:pPr>
        <w:ind w:right="140"/>
        <w:spacing w:after="0" w:line="259" w:lineRule="auto"/>
        <w:rPr>
          <w:sz w:val="20"/>
          <w:szCs w:val="20"/>
          <w:color w:val="auto"/>
        </w:rPr>
      </w:pPr>
      <w:r>
        <w:rPr>
          <w:rFonts w:ascii="Times New Roman" w:cs="Times New Roman" w:eastAsia="Times New Roman" w:hAnsi="Times New Roman"/>
          <w:sz w:val="18"/>
          <w:szCs w:val="18"/>
          <w:color w:val="auto"/>
        </w:rPr>
        <w:t>For cash, cash equivalents and marketable securities, ECLs are assessed for credit losses that result from default events that are possible within the next twelve months (12-month ECL). Credit risk is continuously tracked and monitored in order to identify significant deterioration. For those credit exposures for which there has been a significant increase in credit risk since initial recognition, an allowance is recognized for credit losses expected over the remaining life of the exposure, irrespective of the timing of the default.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share capital comprises the nominal amount of the parent company’s ordinary shares, each at a nominal value of DKK 1, or approximately €0.13. All shares are fully paid.</w:t>
      </w:r>
    </w:p>
    <w:p>
      <w:pPr>
        <w:spacing w:after="0" w:line="1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w:t>
      </w:r>
    </w:p>
    <w:p>
      <w:pPr>
        <w:spacing w:after="0" w:line="18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Treasury shares reserve comprise nominal amounts of holding of own equity instruments. No gain or loss is recognized in profit or loss on the purchase, sale, transfer or cancellation of the Company’s own equity instruments. The treasury shares reserve is part of unrestricted reserves and accordingly, reduce the amount available to be distributed as dividends to the Company’s shareholders.</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Foreign currency translation reserve includes exchange rate adjustments relating to the translation of the results and net assets of foreign operations from their functional currencies to the presentation currency. The accumulated reserve of a foreign operation is reclassified to the consolidated statement of profit or loss at the time the Company loses control, and thus cease to consolidate such foreign operation. The foreign currency translation reserve is an unrestricted reserve that is available to be distributed as dividends to the Company’s shareholders.</w:t>
      </w:r>
    </w:p>
    <w:p>
      <w:pPr>
        <w:spacing w:after="0" w:line="183"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8"/>
          <w:szCs w:val="18"/>
          <w:color w:val="auto"/>
        </w:rPr>
        <w:t>Retained earnings/(accumulated deficit) represents the accumulated profits or losses from the Company’s operations, including corresponding entries to share-based payments recognized in the consolidated statement of profit or loss, arising from warrant programs, RSU-programs and PSU-programs. In addition, premiums from acquisition and sale of treasury shares are recognized as part of this reserve. A positive reserve is available to be distributed as dividends to the Company’s shareholders.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Embedded Derivative Liabilities</w:t>
      </w:r>
    </w:p>
    <w:p>
      <w:pPr>
        <w:spacing w:after="0" w:line="120" w:lineRule="exact"/>
        <w:rPr>
          <w:sz w:val="20"/>
          <w:szCs w:val="20"/>
          <w:color w:val="auto"/>
        </w:rPr>
      </w:pPr>
    </w:p>
    <w:p>
      <w:pPr>
        <w:ind w:right="480"/>
        <w:spacing w:after="0" w:line="311" w:lineRule="auto"/>
        <w:rPr>
          <w:sz w:val="20"/>
          <w:szCs w:val="20"/>
          <w:color w:val="auto"/>
        </w:rPr>
      </w:pPr>
      <w:r>
        <w:rPr>
          <w:rFonts w:ascii="Times New Roman" w:cs="Times New Roman" w:eastAsia="Times New Roman" w:hAnsi="Times New Roman"/>
          <w:sz w:val="17"/>
          <w:szCs w:val="17"/>
          <w:color w:val="auto"/>
        </w:rPr>
        <w:t>Convertible senior notes (“convertible notes”) are separated into a financial liability and an embedded derivative component based on the terms and conditions of the contract. The embedded derivative component is accounted for separately if it is not deemed closely related to the financial liability.</w:t>
      </w:r>
    </w:p>
    <w:p>
      <w:pPr>
        <w:spacing w:after="0" w:line="13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convertible notes include an embedded equity conversion option which is not deemed closely related to the financial liability, and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addition, the convertible notes include a redemption option, which entitle the Company to redeem the notes at a cash amount equal to the principal amount of the convertible notes, plus accrued and unpaid interest. The redemption option is closely related to the financial liability, and not separately accounted for. The initial carrying amount of the financial liability component including the redemption option is the residual amount of the proceeds, net of transaction costs, after separating the derivative component.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08" w:name="page209"/>
    <w:bookmarkEnd w:id="208"/>
    <w:p>
      <w:pPr>
        <w:ind w:right="480"/>
        <w:spacing w:after="0" w:line="265" w:lineRule="auto"/>
        <w:rPr>
          <w:sz w:val="20"/>
          <w:szCs w:val="20"/>
          <w:color w:val="auto"/>
        </w:rPr>
      </w:pPr>
      <w:r>
        <w:rPr>
          <w:rFonts w:ascii="Times New Roman" w:cs="Times New Roman" w:eastAsia="Times New Roman" w:hAnsi="Times New Roman"/>
          <w:sz w:val="18"/>
          <w:szCs w:val="18"/>
          <w:color w:val="auto"/>
        </w:rPr>
        <w:t>Transaction costs are apportioned between the financial liability and derivative component based on the allocation of proceeds when the instrument is initially recognized. Transaction costs apportioned to the financial liability component form part of the effective interest and are amortized over the expected lifetime of the liability. Transaction costs allocated to the derivative component are expensed as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liability is subsequently measured at amortized cost until it is extinguished on conversion, optional redemption or upon repayment at maturity.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liability is presented as part of borrowings on the statement of financial position.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Funding Liabilities</w:t>
      </w:r>
    </w:p>
    <w:p>
      <w:pPr>
        <w:spacing w:after="0" w:line="12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Royalty funding liabilities relate to the Company’s contractual obligations to pay a predetermined percentage of future commercial revenue until reaching a predetermined multiple of proceeds received, pursuant to the detailed provisions of the capped synthetic royalty funding agreement (the “Royalty Funding Agreement”).</w:t>
      </w:r>
    </w:p>
    <w:p>
      <w:pPr>
        <w:spacing w:after="0" w:line="17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Where relevant, royalty funding liabilities are separated into a financial liability and embedded derivative components based on the terms and conditions of the Royalty Funding Agreement. Embedded derivative components are accounted for separately, unless these are deemed closely related to the financial liability. The Royalty Funding Agreement includes a buy-out option where the value is dependent on non-financial variables that are specific to the Company. Accordingly, the buy-out option is not accounted for separately as a derivative.</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financial liability is recognized when the Company becomes party to the contractual provisions of the Royalty Funding Agreement and measured at amortized cost until it is extinguished upon exercising a buy-out option or upon achieving the predetermined multiple of proceeds received. The effective interest rate is estimated at initial recognition and takes into account incremental transaction costs and anticipated amount and timing of future cash flows, which further depends on future commercial revenue forecasts and the probability of exercising the buy-out option. The amortized cost is remeasured prospectively when there is a material change in expectations to amount and timing of future cash flows, which will increase or decrease future interest expenses. Remeasurement gain or losses are recognized through the profit or loss as finance income or expenses,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liability is presented as part of borrowings in the statement of financial position.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Right-of-use Assets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Right-of-use assets are recognized at the lease commencement date, defined as the date the underlying asset is available for use. Right-of-use assets are measured at cost, less any accumulated depreciation and impairment losses, and adjusted for any remeasurement of lease liabilities. The cost of right-of-use assets include the amount of lease liabilities recognized, initial direct costs incurred, and lease payments made at or before the commencement date less any incentives received. In addition, right-of-use assets also include an estimate of costs to be incurred by the Company in dismantling or restoring the underlying asset to the condition if required by the terms and condition of the lease, if any.</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Right-of-use assets are presented as part of property, plant and equipment, and depreciated on a straight-line basis over the shorter of the lease term and the estimated useful lives of the assets.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Liabilities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the lease commencement date, lease liabilities are recognized and measured at the present value of fixed lease payments and variable lease payments that depend on an index or a rate, whereas variable lease payments and payments related to non-lease components are excluded. Variable lease payments that do not depend on an index or a rate are recognized as expenses in the consolidated statement of profit or loss when incurred.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09" w:name="page210"/>
    <w:bookmarkEnd w:id="209"/>
    <w:p>
      <w:pPr>
        <w:ind w:right="40"/>
        <w:spacing w:after="0" w:line="255" w:lineRule="auto"/>
        <w:rPr>
          <w:sz w:val="20"/>
          <w:szCs w:val="20"/>
          <w:color w:val="auto"/>
        </w:rPr>
      </w:pPr>
      <w:r>
        <w:rPr>
          <w:rFonts w:ascii="Times New Roman" w:cs="Times New Roman" w:eastAsia="Times New Roman" w:hAnsi="Times New Roman"/>
          <w:sz w:val="18"/>
          <w:szCs w:val="18"/>
          <w:color w:val="auto"/>
        </w:rPr>
        <w:t>When interest rates implicit in the lease contracts are not readily available, the present value of lease payments are calculated by applying the incremental borrowing rate of the relevant entity holding the lease. Following the commencement date, the incremental borrowing rate is not changed unless the lease term is modified, or if the lease payments are modified and this modification results from a change in floating interest rates. From the lease commencement date and over the lease term, the carrying amount of lease liabilities is increased to reflect the accretion of interest and reduced for the lease payments made. In addition, the carrying amount of lease liabilities is remeasured if there is a modification, a change in lease term, or a change in lease payments, including changes to future payments resulting from a change in an index used to determine such lease payments.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comprise unsettled sales deductions and product returns regarding sale of commercial products where amount or timing of payment is uncertain.</w:t>
      </w:r>
    </w:p>
    <w:p>
      <w:pPr>
        <w:spacing w:after="0" w:line="22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Provisions for sales deductions attributed to various commercial arrangements, managed healthcare organizations, government programs, and co-pay arrangements are recognized when the related sales takes place and measured using the expected value method. Payable amounts for managed healthcare organizations and government programs are generally settled within 90-180 days from the transaction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estimated product returns are measured according to contractual sales price based on expected product returns.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Payables and Accrued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and accrued expenses are measured at amortized cost.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Other liabilities comprise payables to public authorities, short-term employee benefits, and sales rebates. Other liabilities are measured at their net-realizable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0"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Contract liabilities comprise deferred income from collaboration and license agreements, where consideration received does not match the individual deliverables with respect to amount and satisfied performance obligations.</w:t>
      </w:r>
    </w:p>
    <w:p>
      <w:pPr>
        <w:spacing w:after="0" w:line="16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Contract liabilities are measured at the fair value of the consideration received and is recognized as revenue in the consolidated statement of profit or loss when the relevant performance obligation, to which the deferred income relates, is satisfied.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Statement</w:t>
      </w:r>
    </w:p>
    <w:p>
      <w:pPr>
        <w:spacing w:after="0" w:line="1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cash flow statement shows cash flows from operating, investing and financing activities as well as cash and cash equivalents at the beginning and the end of the financial year.</w:t>
      </w:r>
    </w:p>
    <w:p>
      <w:pPr>
        <w:spacing w:after="0" w:line="16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Cash flows from operating activities are presented using the indirect method and calculated as the profit or loss adjusted for non-cash items, working capital changes as well as finance income, finance expenses and income taxes paid.</w:t>
      </w:r>
    </w:p>
    <w:p>
      <w:pPr>
        <w:spacing w:after="0" w:line="163"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Cash flows from investing activities include payments in connection with acquisition, development, improvement and sale, etc., of property, plant and equipment, investment in associate and marketable securities.</w:t>
      </w:r>
    </w:p>
    <w:p>
      <w:pPr>
        <w:spacing w:after="0" w:line="16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Cash flows from financing activities comprise payments related to the capital structure of the Company, including lease liabilities, changes in the share capital and treasury shares, and issuance and payments under the Company's borrowing activities.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0" w:name="page211"/>
    <w:bookmarkEnd w:id="210"/>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effect of exchange rate changes on cash and cash equivalents held or due in a foreign currency is presented separately from cash flows from operating, investing and financing activities. Cash flows in currencies other than the functional currency are recognized in the cash flow statement, using the average exchange rates.</w:t>
      </w:r>
    </w:p>
    <w:p>
      <w:pPr>
        <w:spacing w:after="0" w:line="17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Cash and cash equivalents comprise cash and on-demand bank deposits with financial institutions, cash held by service providers for the purpose of meeting short-term cash commitments, and highly liquid marketable securities with a maturity of three months or less after the date of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Earnings per Share</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Basic Earnings per Share (“EPS”) is calculated as the consolidated net income or loss from continuing operations for the period divided by the weighted average number of ordinary shares outstanding. The weighted average number of shares takes into account the weighted average number of treasury shares during the year.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p>
    <w:p>
      <w:pPr>
        <w:spacing w:after="0" w:line="12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Diluted EPS is calculated as the consolidated net income or loss from continuing operations for the period divided by the weighted average number of ordinary shares outstanding adjusted for the weighted average effect of changes in treasury shares during the year, and the dilutive effect of outstanding warrants and convertible notes. If the consolidated statement of profit or loss shows a net loss, no adjustment is made for the dilutive effect, as such effect would be anti-dilutive.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IFRS Accounting Standards Not Yet Effective</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IASB has issued a number of new or amended standards, which have not yet become effective or have not yet been adopted by the EU. Therefore, these new standards have not been incorporated in these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IAS 1, “Classification of Liabilities as Current or Non-current”</w:t>
      </w:r>
    </w:p>
    <w:p>
      <w:pPr>
        <w:spacing w:after="0" w:line="118"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In January 2020, the IASB issued amendments to paragraphs 69 to 76 of IAS 1, “Presentation of Financial Statements”, to specify the requirements for classifying liabilities as current or non-current. The amendments clarify:</w:t>
      </w:r>
    </w:p>
    <w:p>
      <w:pPr>
        <w:spacing w:after="0" w:line="55" w:lineRule="exact"/>
        <w:rPr>
          <w:sz w:val="20"/>
          <w:szCs w:val="20"/>
          <w:color w:val="auto"/>
        </w:rPr>
      </w:pPr>
    </w:p>
    <w:p>
      <w:pPr>
        <w:ind w:left="1020" w:hanging="504"/>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meant by a right to defer settlement;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right to defer must exist at the end of the reporting period;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classification is unaffected by the likelihood that an entity will exercise its deferral right; and</w:t>
      </w:r>
    </w:p>
    <w:p>
      <w:pPr>
        <w:spacing w:after="0" w:line="115" w:lineRule="exact"/>
        <w:rPr>
          <w:rFonts w:ascii="Times New Roman" w:cs="Times New Roman" w:eastAsia="Times New Roman" w:hAnsi="Times New Roman"/>
          <w:sz w:val="18"/>
          <w:szCs w:val="18"/>
          <w:color w:val="auto"/>
        </w:rPr>
      </w:pPr>
    </w:p>
    <w:p>
      <w:pPr>
        <w:ind w:left="1020" w:right="680" w:hanging="504"/>
        <w:spacing w:after="0" w:line="280" w:lineRule="auto"/>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only if an embedded derivative in a convertible liability is itself an equity instrument would the terms of a liability not impact its classification.</w:t>
      </w:r>
    </w:p>
    <w:p>
      <w:pPr>
        <w:spacing w:after="0" w:line="16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The amendments are effective for annual reporting periods beginning on or after January 1, 2024 and must be applied retrospectively. The amendments require the convertible notes (presented as part of borrowings on the statement of financial position) and derivative liabilities, presented as non-current liabilities at December 31, 2023, to be presented as current liabilities. On December 31, 2023, the carrying amount of convertible notes and derivative liabilities were €407.1 million and €143.3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not expected to be affected by other new or amended standards.</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Note 3 – Significant Accounting Judgements and Estimates</w:t>
      </w:r>
    </w:p>
    <w:p>
      <w:pPr>
        <w:spacing w:after="0" w:line="1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years presented in these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Judgements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judgements which have a material impact on the consolidated financial statements are described in the following sections.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Generated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Drug Candidates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8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Estimation Uncertainties</w:t>
      </w:r>
    </w:p>
    <w:p>
      <w:pPr>
        <w:spacing w:after="0" w:line="120"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have a risk of causing a material adjustment to the carrying amounts of assets and liabilities within the next financial year, are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Sales Rebates and Product Returns</w:t>
      </w:r>
    </w:p>
    <w:p>
      <w:pPr>
        <w:spacing w:after="0" w:line="118"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Sales deductions and product returns are considered variable consideration and constrained to the extent that a significant reversal in the amount of recognized revenue will not occur when the uncertainties associated with the rebate item are subsequently resolved, or for product returns, when the products are distributed to patients.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Provisions for unsettled sales deductions and product returns are estimated on the basis of a percentage of sales as defined by individual agreements and contracts, and for government rebates by individual state- and plan agreements. Further input in the calculations is based on payer channel mix, current contract prices under eligible programs, patient groups and current inventory levels in the distribution channels. Provisions are adjusted to absolute amounts and recognized as other liabilities when estimated sales rebates and returns are processed.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t>As of December 31, 2023, the provisions for sales rebates and product returns was €32.7 million compared to €7.3 million, as of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total provisions is disclosed in Note 15, “Provisions”.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Compensation Costs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IFRS 2, “Share-Based Payment” requires an entity to reflect in its consolidated statement of profit or loss and financial position, the effects of share-based payment transactions. Warrant compensation costs are recognized as cost of sales, research and development costs or selling, general and administrative expenses, as appropriate, over the vesting period, based on management’s best estimate of the number of warrants that will ultimately vest, which is subject to uncertainty.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Warrant compensation costs are measured according to the grant date fair value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expected forfeitures and expected lifetime of warrants.</w:t>
      </w:r>
    </w:p>
    <w:p>
      <w:pPr>
        <w:spacing w:after="0" w:line="18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2021, the Company for the first time, in connection with determining the grant date fair value of warrants and accordingly, warrant compensation costs, applied the price of the Company’s ADSs, each representing one ordinary share of the Company, as input for expected volatility. Until December 31, 2020, the expected volatility was calculated using a simple average of daily historical data of comparable publicly traded companies, as the Company did not have sufficient data for the volatility of the Company’s own share price. Refer to Note 7, “Share-based Payment”, for additional details on the Company’s warrant program and option-pricing model input.</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Warrant compensation cost recognized in the consolidated statement of profit or loss was €28.8 million, €55.2 million and €66.1 million for the years ended December 31,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Embedded Derivatives</w:t>
      </w:r>
    </w:p>
    <w:p>
      <w:pPr>
        <w:spacing w:after="0" w:line="12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Foreign currency conversion options embedded in the convertible notes are accounted for separately as derivative liabilities at fair value through profit or loss.</w:t>
      </w:r>
    </w:p>
    <w:p>
      <w:pPr>
        <w:spacing w:after="0" w:line="1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 and accordingly, derivative liabilities are measured by use of valuation techniques in the form of the Black-Scholes Option Pricing model. Subjective judgements and assumptions, which are subject to estimation uncertainties, need to be exercised in determining the appropriate unobservable input to the valuation model (Level 3 in the fair value hierarchy). This includes volatility of the Company’s share price for a historic period, reflecting the assumption that the historical volatility is indicative of a period similar to the expected lifetime of the options.</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As of December 31, 2023, the valuation of the derivative liabilities was €143.3 million compared to €158.0 million as of December 31, 2022. Changes in assumptions relating to these factors could affect the reported fair value of derivative liabilities. Refer to Note 16, “Financial Assets and Liabilities”, for additional details.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Royalty Funding Liabilities</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carrying amount of royalty funding liabilities is measured according to anticipated future cash flows, which further depends on the amount and timing of future commercial revenue. Assumptions that impact the amount and timing of future commercial revenue are subject to estimation uncertainties, and are subject to a number of factors which are not within the Company's control.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3" w:name="page214"/>
    <w:bookmarkEnd w:id="213"/>
    <w:p>
      <w:pPr>
        <w:ind w:right="180"/>
        <w:spacing w:after="0" w:line="287" w:lineRule="auto"/>
        <w:rPr>
          <w:sz w:val="20"/>
          <w:szCs w:val="20"/>
          <w:color w:val="auto"/>
        </w:rPr>
      </w:pPr>
      <w:r>
        <w:rPr>
          <w:rFonts w:ascii="Times New Roman" w:cs="Times New Roman" w:eastAsia="Times New Roman" w:hAnsi="Times New Roman"/>
          <w:sz w:val="17"/>
          <w:szCs w:val="17"/>
          <w:color w:val="auto"/>
        </w:rPr>
        <w:t>The Company will periodically revisit the anticipated amount and timing of future commercial revenue and to the extent such amount or timing is materially different from the previous estimates, a remeasurement gain or loss is recognized through the profit or loss as finance income or expenses, respectively, which would further increase or decrease future interest expenses. Further details are provided in Note 16, “Financial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carrying amount of the royalty funding liabilities was €138.4 million.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has been recognized in the consolidated statements of profit or loss with the following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commercial products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Rendering of services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clinical supply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0"/>
                <w:szCs w:val="20"/>
                <w:color w:val="auto"/>
              </w:rPr>
            </w:pPr>
          </w:p>
        </w:tc>
      </w:tr>
      <w:tr>
        <w:trPr>
          <w:trHeight w:val="242"/>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66,077</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customers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p>
        </w:tc>
      </w:tr>
      <w:tr>
        <w:trPr>
          <w:trHeight w:val="242"/>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partners and license agreements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by timing of recognition</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r>
      <w:tr>
        <w:trPr>
          <w:trHeight w:val="242"/>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245,059</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46,740</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per geographical location</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191,677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0"/>
                <w:szCs w:val="20"/>
                <w:color w:val="auto"/>
              </w:rPr>
            </w:pP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-2288540</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-2288540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-2288540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-1639570</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-1639570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-1639570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-989965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-989965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-989965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-24765</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Customers</w:t>
      </w:r>
    </w:p>
    <w:p>
      <w:pPr>
        <w:spacing w:after="0" w:line="12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Revenue to commercial customers relates to sale of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primarily in the U.S. market, which is sold to specialty pharmacies and specialty distributors. In addition, the Company began shipping products to wholesalers in Germany in the third quarter of 2023. Customer payment terms are typically 30 days from the transaction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both 2023 and 2022, four commercial customers represented more than 10% of sales to commercial customers.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Partners and License Agreements</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November 29, 2023, the Company entered into an exclusive license agreement with Teijin Limited (the “Teijin Agreement”) for the further development and commercialization of TransCon hGH, TransCon PTH, and TransCon CNP for endocrinology rare disease (the “Licensed Products”) in Japan. Under the terms of the Teijin Agreement, the Company received an upfront payment of $70 million, with additional development and regulatory milestones of up to $175 million and commercial milestones. In addition, the Company is eligible to receive royalties on net sales of the Licensed Products in Japan, of up to mid-20’s percent.</w:t>
      </w:r>
    </w:p>
    <w:p>
      <w:pPr>
        <w:spacing w:after="0" w:line="183" w:lineRule="exact"/>
        <w:rPr>
          <w:sz w:val="20"/>
          <w:szCs w:val="20"/>
          <w:color w:val="auto"/>
        </w:rPr>
      </w:pPr>
    </w:p>
    <w:p>
      <w:pPr>
        <w:ind w:right="1040"/>
        <w:spacing w:after="0" w:line="280" w:lineRule="auto"/>
        <w:rPr>
          <w:sz w:val="20"/>
          <w:szCs w:val="20"/>
          <w:color w:val="auto"/>
        </w:rPr>
      </w:pPr>
      <w:r>
        <w:rPr>
          <w:rFonts w:ascii="Times New Roman" w:cs="Times New Roman" w:eastAsia="Times New Roman" w:hAnsi="Times New Roman"/>
          <w:sz w:val="18"/>
          <w:szCs w:val="18"/>
          <w:color w:val="auto"/>
        </w:rPr>
        <w:t>Further, the Company will provide clinical and commercial supply, and development services for joint activities, which are subject to separate remuneration, and which will be recognized as revenue over time as rendering of services or reimbursement revenue, as applicable.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4" w:name="page215"/>
    <w:bookmarkEnd w:id="214"/>
    <w:p>
      <w:pPr>
        <w:ind w:right="60"/>
        <w:spacing w:after="0" w:line="259" w:lineRule="auto"/>
        <w:rPr>
          <w:sz w:val="20"/>
          <w:szCs w:val="20"/>
          <w:color w:val="auto"/>
        </w:rPr>
      </w:pPr>
      <w:r>
        <w:rPr>
          <w:rFonts w:ascii="Times New Roman" w:cs="Times New Roman" w:eastAsia="Times New Roman" w:hAnsi="Times New Roman"/>
          <w:sz w:val="18"/>
          <w:szCs w:val="18"/>
          <w:color w:val="auto"/>
        </w:rPr>
        <w:t>At December 31, 2023, none of the Licensed Products have received marketing authorization in Japan and no services has been provided by the Company. The Licensed Products are patent protected, where future activities do not affect their existing stand-alone functionalities. Accordingly, all three licenses have been classified as “right-to-use” licenses, with revenue recognized at a point in time, where the licensee is granted access to the IP. For the year ended, December 31, 2023, “Licenses” includes upfront payment of $70 million, which is allocated to the license of the Company’s 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and regulatory milestones of up to $175 million are recognized as revenue when the milestone criteria specific to the licensed product are met.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and commercial milestone income is recognized as revenue when the subsequent product sales occur.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no revenue from royalties or milestones has been recognized under the Teijin Agreement.</w:t>
      </w:r>
    </w:p>
    <w:p>
      <w:pPr>
        <w:spacing w:after="0" w:line="223"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Revenue from collaboration partners and license agreements also includes license income, rendering of services and sale of clinical supply under three licenses agreements with VISEN Pharmaceuticals, which were entered into in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5—Segment Information</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is managed and operated as one business unit. No separate business areas or separate business units have been identified in relation to product candidates or geographical markets. Accordingly, except for entity wide disclosures, no information on business segments or geographical markets is disclosed. Entity wide disclosures regarding revenue are included in Note 4, “Revenue”.</w:t>
      </w:r>
    </w:p>
    <w:p>
      <w:pPr>
        <w:spacing w:after="0" w:line="175"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The Company’s intangible assets and property, plant and equipment located by country or region are specified below, and defines the Company’s non-current segment assets: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8"/>
        </w:trPr>
        <w:tc>
          <w:tcPr>
            <w:tcW w:w="7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segment assets</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30,336</w:t>
            </w:r>
          </w:p>
        </w:tc>
        <w:tc>
          <w:tcPr>
            <w:tcW w:w="100" w:type="dxa"/>
            <w:vAlign w:val="bottom"/>
          </w:tcPr>
          <w:p>
            <w:pPr>
              <w:spacing w:after="0"/>
              <w:rPr>
                <w:sz w:val="20"/>
                <w:szCs w:val="20"/>
                <w:color w:val="auto"/>
              </w:rPr>
            </w:pPr>
          </w:p>
        </w:tc>
      </w:tr>
      <w:tr>
        <w:trPr>
          <w:trHeight w:val="24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68,589</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89,439</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segment assets</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115,053</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133,923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associate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00" w:type="dxa"/>
            <w:vAlign w:val="bottom"/>
          </w:tcPr>
          <w:p>
            <w:pPr>
              <w:spacing w:after="0"/>
              <w:rPr>
                <w:sz w:val="20"/>
                <w:szCs w:val="20"/>
                <w:color w:val="auto"/>
              </w:rPr>
            </w:pPr>
          </w:p>
        </w:tc>
      </w:tr>
      <w:tr>
        <w:trPr>
          <w:trHeight w:val="24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8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122,866</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166,267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1"/>
        </w:trPr>
        <w:tc>
          <w:tcPr>
            <w:tcW w:w="86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2"/>
        </w:trPr>
        <w:tc>
          <w:tcPr>
            <w:tcW w:w="7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-1426210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-1426210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-793750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-776605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-793750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-776605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Note 6—Employee costs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costs</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Wages and salaries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104,583</w:t>
            </w:r>
          </w:p>
        </w:tc>
        <w:tc>
          <w:tcPr>
            <w:tcW w:w="100" w:type="dxa"/>
            <w:vAlign w:val="bottom"/>
          </w:tcPr>
          <w:p>
            <w:pPr>
              <w:spacing w:after="0"/>
              <w:rPr>
                <w:sz w:val="20"/>
                <w:szCs w:val="20"/>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66,830</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Pensions (defined contribution plans)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20"/>
                <w:szCs w:val="20"/>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Social security costs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 costs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0"/>
                <w:szCs w:val="20"/>
                <w:color w:val="auto"/>
              </w:rPr>
            </w:pPr>
          </w:p>
        </w:tc>
      </w:tr>
      <w:tr>
        <w:trPr>
          <w:trHeight w:val="280"/>
        </w:trPr>
        <w:tc>
          <w:tcPr>
            <w:tcW w:w="6580" w:type="dxa"/>
            <w:vAlign w:val="bottom"/>
            <w:shd w:val="clear" w:color="auto" w:fill="CFF0FC"/>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Total employee costs </w:t>
            </w:r>
            <w:r>
              <w:rPr>
                <w:rFonts w:ascii="Times New Roman" w:cs="Times New Roman" w:eastAsia="Times New Roman" w:hAnsi="Times New Roman"/>
                <w:sz w:val="24"/>
                <w:szCs w:val="24"/>
                <w:b w:val="1"/>
                <w:bCs w:val="1"/>
                <w:color w:val="auto"/>
                <w:vertAlign w:val="superscript"/>
              </w:rPr>
              <w:t>(2)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258,456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223,801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183,236</w:t>
            </w:r>
          </w:p>
        </w:tc>
        <w:tc>
          <w:tcPr>
            <w:tcW w:w="100" w:type="dxa"/>
            <w:vAlign w:val="bottom"/>
            <w:shd w:val="clear" w:color="auto" w:fill="CFF0FC"/>
          </w:tcPr>
          <w:p>
            <w:pPr>
              <w:spacing w:after="0"/>
              <w:rPr>
                <w:sz w:val="24"/>
                <w:szCs w:val="24"/>
                <w:color w:val="auto"/>
              </w:rPr>
            </w:pPr>
          </w:p>
        </w:tc>
      </w:tr>
      <w:tr>
        <w:trPr>
          <w:trHeight w:val="220"/>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Included in the profit or loss</w:t>
            </w:r>
          </w:p>
        </w:tc>
        <w:tc>
          <w:tcPr>
            <w:tcW w:w="14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4"/>
        </w:trPr>
        <w:tc>
          <w:tcPr>
            <w:tcW w:w="6580" w:type="dxa"/>
            <w:vAlign w:val="bottom"/>
            <w:shd w:val="clear" w:color="auto" w:fill="CFF0FC"/>
          </w:tcPr>
          <w:p>
            <w:pPr>
              <w:ind w:left="20"/>
              <w:spacing w:after="0" w:line="244"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122,581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108,434</w:t>
            </w:r>
          </w:p>
        </w:tc>
        <w:tc>
          <w:tcPr>
            <w:tcW w:w="100" w:type="dxa"/>
            <w:vAlign w:val="bottom"/>
          </w:tcPr>
          <w:p>
            <w:pPr>
              <w:spacing w:after="0"/>
              <w:rPr>
                <w:sz w:val="20"/>
                <w:szCs w:val="20"/>
                <w:color w:val="auto"/>
              </w:rPr>
            </w:pPr>
          </w:p>
        </w:tc>
      </w:tr>
      <w:tr>
        <w:trPr>
          <w:trHeight w:val="242"/>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115,706</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93,981</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658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Total employee costs </w:t>
            </w:r>
            <w:r>
              <w:rPr>
                <w:rFonts w:ascii="Times New Roman" w:cs="Times New Roman" w:eastAsia="Times New Roman" w:hAnsi="Times New Roman"/>
                <w:sz w:val="24"/>
                <w:szCs w:val="24"/>
                <w:b w:val="1"/>
                <w:bCs w:val="1"/>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258,456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223,801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183,236</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number of employees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-989965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-973455</wp:posOffset>
            </wp:positionV>
            <wp:extent cx="76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-989965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-973455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-989965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-973455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-349885</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-349885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-349885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hanging="513"/>
        <w:spacing w:after="0"/>
        <w:tabs>
          <w:tab w:leader="none" w:pos="6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sales includes employee costs capitalized as part of inventories.</w:t>
      </w:r>
    </w:p>
    <w:p>
      <w:pPr>
        <w:spacing w:after="0" w:line="125" w:lineRule="exact"/>
        <w:rPr>
          <w:rFonts w:ascii="Times New Roman" w:cs="Times New Roman" w:eastAsia="Times New Roman" w:hAnsi="Times New Roman"/>
          <w:sz w:val="16"/>
          <w:szCs w:val="16"/>
          <w:color w:val="auto"/>
        </w:rPr>
      </w:pPr>
    </w:p>
    <w:p>
      <w:pPr>
        <w:ind w:left="640" w:right="260" w:hanging="513"/>
        <w:spacing w:after="0" w:line="280" w:lineRule="auto"/>
        <w:tabs>
          <w:tab w:leader="none" w:pos="6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2023, “Employee costs” has been extended to also include “Other employee costs”, which comprise other external costs associated with employment. In addition, “Social security costs” have been adjusted to also include various insurance programs. Comparative amounts have been reclassified to reflect the change in presentation.</w:t>
      </w:r>
    </w:p>
    <w:p>
      <w:pPr>
        <w:spacing w:after="0" w:line="17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Key Management Personnel comprises the Board of Directors (the “Board”), the Executive Board and Non-executive Senior Management. Compensation to Key Management Personnel comprises salaries, participation in annual bonus schemes, pensions (defined contributions plans), and share-based compensation. Share-based compensation is elaborated in further details in Note 7, “Share-based Payment”.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to Key Management Personnel included within total employee costs is summarized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spacing w:after="0"/>
              <w:rPr>
                <w:sz w:val="18"/>
                <w:szCs w:val="18"/>
                <w:color w:val="auto"/>
              </w:rPr>
            </w:pPr>
          </w:p>
        </w:tc>
        <w:tc>
          <w:tcPr>
            <w:tcW w:w="21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w:t>
            </w:r>
            <w:r>
              <w:rPr>
                <w:rFonts w:ascii="Times New Roman" w:cs="Times New Roman" w:eastAsia="Times New Roman" w:hAnsi="Times New Roman"/>
                <w:sz w:val="19"/>
                <w:szCs w:val="19"/>
                <w:b w:val="1"/>
                <w:bCs w:val="1"/>
                <w:color w:val="auto"/>
                <w:vertAlign w:val="superscript"/>
              </w:rPr>
              <w:t>(1)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 xml:space="preserve">Executive Board </w:t>
            </w:r>
            <w:r>
              <w:rPr>
                <w:rFonts w:ascii="Times New Roman" w:cs="Times New Roman" w:eastAsia="Times New Roman" w:hAnsi="Times New Roman"/>
                <w:sz w:val="19"/>
                <w:szCs w:val="19"/>
                <w:b w:val="1"/>
                <w:bCs w:val="1"/>
                <w:color w:val="auto"/>
                <w:w w:val="97"/>
                <w:vertAlign w:val="superscript"/>
              </w:rPr>
              <w:t>(2)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Non-executive Senior Management</w:t>
            </w:r>
          </w:p>
        </w:tc>
      </w:tr>
      <w:tr>
        <w:trPr>
          <w:trHeight w:val="168"/>
        </w:trPr>
        <w:tc>
          <w:tcPr>
            <w:tcW w:w="2440" w:type="dxa"/>
            <w:vAlign w:val="bottom"/>
          </w:tcPr>
          <w:p>
            <w:pPr>
              <w:spacing w:after="0"/>
              <w:rPr>
                <w:sz w:val="14"/>
                <w:szCs w:val="14"/>
                <w:color w:val="auto"/>
              </w:rPr>
            </w:pPr>
          </w:p>
        </w:tc>
        <w:tc>
          <w:tcPr>
            <w:tcW w:w="7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7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top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7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24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(EUR ‘000)</w:t>
            </w: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Wages and salaries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0"/>
                <w:szCs w:val="20"/>
                <w:color w:val="auto"/>
              </w:rPr>
            </w:pPr>
          </w:p>
        </w:tc>
      </w:tr>
      <w:tr>
        <w:trPr>
          <w:trHeight w:val="24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100" w:type="dxa"/>
            <w:vAlign w:val="bottom"/>
            <w:shd w:val="clear" w:color="auto" w:fill="CFF0FC"/>
          </w:tcPr>
          <w:p>
            <w:pPr>
              <w:spacing w:after="0"/>
              <w:rPr>
                <w:sz w:val="21"/>
                <w:szCs w:val="2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Pensions (defined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r>
      <w:tr>
        <w:trPr>
          <w:trHeight w:val="24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Social security costs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r>
      <w:tr>
        <w:trPr>
          <w:trHeight w:val="23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 cost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78"/>
        </w:trPr>
        <w:tc>
          <w:tcPr>
            <w:tcW w:w="2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17,795</w:t>
            </w:r>
          </w:p>
        </w:tc>
        <w:tc>
          <w:tcPr>
            <w:tcW w:w="2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15,322</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11,551</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14,409</w:t>
            </w:r>
          </w:p>
        </w:tc>
        <w:tc>
          <w:tcPr>
            <w:tcW w:w="2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15,211</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-24765</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-7620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-24765</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-7620</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-24765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-7620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-24765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-24765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hanging="513"/>
        <w:spacing w:after="0"/>
        <w:tabs>
          <w:tab w:leader="none" w:pos="6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comprised six to seven persons in 2023, 2022 and 2021.</w:t>
      </w:r>
    </w:p>
    <w:p>
      <w:pPr>
        <w:spacing w:after="0" w:line="125" w:lineRule="exact"/>
        <w:rPr>
          <w:rFonts w:ascii="Times New Roman" w:cs="Times New Roman" w:eastAsia="Times New Roman" w:hAnsi="Times New Roman"/>
          <w:sz w:val="16"/>
          <w:szCs w:val="16"/>
          <w:color w:val="auto"/>
        </w:rPr>
      </w:pPr>
    </w:p>
    <w:p>
      <w:pPr>
        <w:ind w:left="640" w:hanging="513"/>
        <w:spacing w:after="0"/>
        <w:tabs>
          <w:tab w:leader="none" w:pos="6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Board comprised four persons in 2023 and 2022. In 2021, the Executive Board comprised two to four persons.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Payment</w:t>
      </w:r>
    </w:p>
    <w:p>
      <w:pPr>
        <w:spacing w:after="0" w:line="120"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As an incentive to employees, members of the Board and select consultants, the Company has established warrant programs. In December 2021, the Company established a Restricted Stock Unit programs (“RSU program”), and in March 2023, a Performance Stock Unit program. All programs are classified as equity-settled share-based payment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Restricted Stock Unit Program</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Restricted Stock Units (“RSUs”) are granted by the Board in accordance with authorizations given to it by the shareholders of Ascendis Pharma A/S to the Executive Board, select employees and members of the Board (“RSU-holders”) in accordance with the Company’s RSU Program adopted in December 2021. Further, RSUs may be granted to select consultants. One RSU represents a right for the RSU-holder to receive one ADS of Ascendis Pharma A/S upon vesting if the vesting conditions are met or waived by the Board at its discretion. ADSs underlying RSUs are treasury shares that have been repurchased in the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 Program</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Performance Stock Units (“PSUs”) are granted by the Board to certain members of senior management and the Executive Board (the “PSU-holders”). In addition, PSUs may be granted to other employees, select consultants and members of the Board. PSUs were granted for the first time in March 2023. One PSU represents a right for the PSU-holder to receive one ADS of Ascendis Pharma A/S upon vesting.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Conditions</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RSUs granted vest over a predetermined service period, and accordingly require RSU-holders to be employed, or provide a specified period of service. RSUs vest over three years with 1/3 of the RSUs vesting on each anniversary date from the date of grant. RSUs generally cease to vest from the date of termination of employment, or for the Board, termination of board membership, whereas unvested RSUs will lapse. In addition, vesting may be contingent upon additional vesting criteria (non-market performance conditions).</w:t>
      </w:r>
    </w:p>
    <w:p>
      <w:pPr>
        <w:spacing w:after="0" w:line="18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PSUs vest in a manner similar to the service conditions of the RSUs; however, vesting is also contingent upon achievement of performance targets (non-market performance conditions) as determined by the Board, provided that no more than 10% of each tranche may be directly attributable to accomplishment of financial results achieved in the financial year prior to the vesting date. Exceeding performance targets will not result in granting of additional ADSs.</w:t>
      </w:r>
    </w:p>
    <w:p>
      <w:pPr>
        <w:spacing w:after="0" w:line="18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RSUs and PSUs generally cease to vest from the date of termination of employment or board membership, as applicable, whereas unvested RSUs or PSUs will be forfeited. The Board may at its discretion and on an individual basis decide to deviate from the vesting conditions, including deciding to accelerate vesting in the event of termination of employment or board membership, as applicable.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Options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All RSUs and PSUs are settled at the time of vesting by transfer of treasury shares that are ADSs repurchased in the market. In jurisdictions where the Company is required to withhold and settle tax with the tax authority on behalf of the RSU/PSU-holders, the Company withholds the number of RSUs or PSUs that are equal to the estimated monetary value of the RSU/PSU-holders tax obligation from the total number of RSUs or PSUs that otherwise would have been transferred to the RSU/PSU holder upon vesting. These settlements are presented as “Net settlement under stock incentive programs” in the consolidated statement of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vesting, the Company may at its sole discretion choose to make a cash settlement instead of delivering ADSs.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RSU-holders and PSU-holders are entitled to an adjustment of the number of RSUs or PSUs granted, in the event of certain corporate changes, including among other events, increases or decreases to the share capital at a price below or above market value, the issuance of bonus shares, and changes in the nominal value of each share. In addition, The RSU and PSU Programs contain provisions to accelerate vesting, or compensate with grant of new equity instruments, in the event of restructuring events including change in control events.</w:t>
      </w:r>
    </w:p>
    <w:p>
      <w:pPr>
        <w:spacing w:after="0" w:line="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682"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of RSUs and PSUs granted and outstanding: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60" w:type="dxa"/>
            <w:vAlign w:val="bottom"/>
          </w:tcPr>
          <w:p>
            <w:pPr>
              <w:spacing w:after="0"/>
              <w:rPr>
                <w:sz w:val="13"/>
                <w:szCs w:val="13"/>
                <w:color w:val="auto"/>
              </w:rPr>
            </w:pPr>
          </w:p>
        </w:tc>
        <w:tc>
          <w:tcPr>
            <w:tcW w:w="14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62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Granted during the period </w:t>
            </w:r>
            <w:r>
              <w:rPr>
                <w:rFonts w:ascii="Times New Roman" w:cs="Times New Roman" w:eastAsia="Times New Roman" w:hAnsi="Times New Roman"/>
                <w:sz w:val="24"/>
                <w:szCs w:val="24"/>
                <w:color w:val="auto"/>
                <w:vertAlign w:val="superscript"/>
              </w:rPr>
              <w:t>(1)</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148,148</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148,148</w:t>
            </w:r>
          </w:p>
        </w:tc>
        <w:tc>
          <w:tcPr>
            <w:tcW w:w="0" w:type="dxa"/>
            <w:vAlign w:val="bottom"/>
          </w:tcPr>
          <w:p>
            <w:pPr>
              <w:spacing w:after="0"/>
              <w:rPr>
                <w:sz w:val="1"/>
                <w:szCs w:val="1"/>
                <w:color w:val="auto"/>
              </w:rPr>
            </w:pPr>
          </w:p>
        </w:tc>
      </w:tr>
      <w:tr>
        <w:trPr>
          <w:trHeight w:val="23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148,148</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148,148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 during the period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78"/>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82,492</w:t>
            </w:r>
          </w:p>
        </w:tc>
        <w:tc>
          <w:tcPr>
            <w:tcW w:w="1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82,492</w:t>
            </w:r>
          </w:p>
        </w:tc>
        <w:tc>
          <w:tcPr>
            <w:tcW w:w="0" w:type="dxa"/>
            <w:vAlign w:val="bottom"/>
          </w:tcPr>
          <w:p>
            <w:pPr>
              <w:spacing w:after="0"/>
              <w:rPr>
                <w:sz w:val="1"/>
                <w:szCs w:val="1"/>
                <w:color w:val="auto"/>
              </w:rPr>
            </w:pPr>
          </w:p>
        </w:tc>
      </w:tr>
      <w:tr>
        <w:trPr>
          <w:trHeight w:val="225"/>
        </w:trPr>
        <w:tc>
          <w:tcPr>
            <w:tcW w:w="66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during the period </w:t>
            </w:r>
            <w:r>
              <w:rPr>
                <w:rFonts w:ascii="Times New Roman" w:cs="Times New Roman" w:eastAsia="Times New Roman" w:hAnsi="Times New Roman"/>
                <w:sz w:val="24"/>
                <w:szCs w:val="24"/>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609,860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112,268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722,128</w:t>
            </w:r>
          </w:p>
        </w:tc>
        <w:tc>
          <w:tcPr>
            <w:tcW w:w="0" w:type="dxa"/>
            <w:vAlign w:val="bottom"/>
          </w:tcPr>
          <w:p>
            <w:pPr>
              <w:spacing w:after="0"/>
              <w:rPr>
                <w:sz w:val="1"/>
                <w:szCs w:val="1"/>
                <w:color w:val="auto"/>
              </w:rPr>
            </w:pPr>
          </w:p>
        </w:tc>
      </w:tr>
      <w:tr>
        <w:trPr>
          <w:trHeight w:val="242"/>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Settled during the period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during the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0" w:type="dxa"/>
            <w:vAlign w:val="bottom"/>
          </w:tcPr>
          <w:p>
            <w:pPr>
              <w:spacing w:after="0"/>
              <w:rPr>
                <w:sz w:val="1"/>
                <w:szCs w:val="1"/>
                <w:color w:val="auto"/>
              </w:rPr>
            </w:pPr>
          </w:p>
        </w:tc>
      </w:tr>
      <w:tr>
        <w:trPr>
          <w:trHeight w:val="242"/>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(77,497)</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(84,742)</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576,625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105,023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681,648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by vesting date</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217,615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252,622</w:t>
            </w:r>
          </w:p>
        </w:tc>
        <w:tc>
          <w:tcPr>
            <w:tcW w:w="0" w:type="dxa"/>
            <w:vAlign w:val="bottom"/>
          </w:tcPr>
          <w:p>
            <w:pPr>
              <w:spacing w:after="0"/>
              <w:rPr>
                <w:sz w:val="1"/>
                <w:szCs w:val="1"/>
                <w:color w:val="auto"/>
              </w:rPr>
            </w:pPr>
          </w:p>
        </w:tc>
      </w:tr>
      <w:tr>
        <w:trPr>
          <w:trHeight w:val="24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179,482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214,490</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179,528</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214,536</w:t>
            </w:r>
          </w:p>
        </w:tc>
        <w:tc>
          <w:tcPr>
            <w:tcW w:w="0" w:type="dxa"/>
            <w:vAlign w:val="bottom"/>
          </w:tcPr>
          <w:p>
            <w:pPr>
              <w:spacing w:after="0"/>
              <w:rPr>
                <w:sz w:val="1"/>
                <w:szCs w:val="1"/>
                <w:color w:val="auto"/>
              </w:rPr>
            </w:pPr>
          </w:p>
        </w:tc>
      </w:tr>
      <w:tr>
        <w:trPr>
          <w:trHeight w:val="278"/>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576,625</w:t>
            </w:r>
          </w:p>
        </w:tc>
        <w:tc>
          <w:tcPr>
            <w:tcW w:w="1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105,023</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681,648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-2288540</wp:posOffset>
            </wp:positionV>
            <wp:extent cx="1022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-2288540</wp:posOffset>
            </wp:positionV>
            <wp:extent cx="939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-1630680</wp:posOffset>
            </wp:positionV>
            <wp:extent cx="1022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-1614170</wp:posOffset>
            </wp:positionV>
            <wp:extent cx="1022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-1630680</wp:posOffset>
            </wp:positionV>
            <wp:extent cx="939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-1614170</wp:posOffset>
            </wp:positionV>
            <wp:extent cx="939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-989965</wp:posOffset>
            </wp:positionV>
            <wp:extent cx="1022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-989965</wp:posOffset>
            </wp:positionV>
            <wp:extent cx="939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-24765</wp:posOffset>
            </wp:positionV>
            <wp:extent cx="1022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-7620</wp:posOffset>
            </wp:positionV>
            <wp:extent cx="1022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-24765</wp:posOffset>
            </wp:positionV>
            <wp:extent cx="939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-7620</wp:posOffset>
            </wp:positionV>
            <wp:extent cx="939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ind w:left="520" w:right="280" w:hanging="512"/>
        <w:spacing w:after="0" w:line="296" w:lineRule="auto"/>
        <w:tabs>
          <w:tab w:leader="none" w:pos="52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one RSU at the date of grant was €123.46 and €105.96 for the year ended December 31, 2021 and December 31, 2023, respectively. PSUs were granted for the first time in 2023. The fair value of one PSU at the date of grant was €105.96.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program</w:t>
      </w:r>
    </w:p>
    <w:p>
      <w:pPr>
        <w:spacing w:after="0" w:line="12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Warrants are granted by the Board in accordance with authorizations given to it by the shareholders of Ascendis Pharma A/S to all employees, members of the Board of Directors and select consultants (“warrantholders”). Each warrant carries the right to subscribe for one ordinary share of a nominal value of DKK 1. The exercise price is equal to the fair market value of the Company’s ordinary shares at the time of grant as determined by the Board of Directors. Vested warrants may be exercised in two or four annual exercise periods as described below. Apart from exercise prices, exercise periods and vesting conditions for board members, the programs are similar.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Conditions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Warrants granted vest over a predetermined service period and require warrantholders provide a specified period of service. Warrants generally cease to vest from the date of termination in the event that (i) the employee terminates the employment contract and the termination is not a result of breach of the employment terms by the Company, or (ii) in the event that the Company terminates the employment contract and the employee has given the Company good reason to do so. In relation to board members, the vesting shall cease on the termination date of the board membership regardless of the reason. In relation to consultants, the vesting shall cease on the termination date of the consultancy relationship. The warrantholder will, however, be entitled to exercise vested warrants in the first exercise period after termination.</w:t>
      </w:r>
    </w:p>
    <w:p>
      <w:pPr>
        <w:spacing w:after="0" w:line="18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In the event that the employment contract is terminated, and the employee has not given the Company good reason to do so, the warrantholder may keep the right to continued vesting and exercise of warrants as if the employment was still in effect. In such case, any expense not yet recognized for the outstanding warrants is recognized immediately.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i w:val="1"/>
          <w:iCs w:val="1"/>
          <w:color w:val="auto"/>
        </w:rPr>
        <w:t>Warrants granted until November 2021</w:t>
      </w:r>
    </w:p>
    <w:p>
      <w:pPr>
        <w:spacing w:after="0" w:line="11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Warrants granted from 2012 until November 2021, generally vest over 48 months with 1/48 of the warrants vesting per month from the date of grant. However, effective from January 2015, certain warrants granted to board members vest over 24 months with 1/24 of the warrants vesting per month from the date of grant.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granted from December 2021</w:t>
      </w:r>
    </w:p>
    <w:p>
      <w:pPr>
        <w:spacing w:after="0" w:line="11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For warrants granted to employees and consultants, 25% of the warrants vest one year after the date of grant, and the remaining 75% of the warrants granted vest over 36 months, with 1/36 of the warrants vesting per month, from one year after the date of grant.</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For warrants granted to board members upon the board members accession, 25% of the warrants granted vest one year after the date of grant, and the remaining 75% of the warrants granted shall vest over 36 months, with 1/36 per month from one year after the date of grant. Regarding subsequent grants of warrants to board members, 50 % of the warrants vest one year after the date of grant, and the remaining 50% of the warrants vest over 12 months, with 1/12 per month from one year after the date of grant.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Periods</w:t>
      </w:r>
    </w:p>
    <w:p>
      <w:pPr>
        <w:spacing w:after="0" w:line="120"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within certain periods after publication of earnings data of a fiscal quarter, interim and annual reports, as per each program's terms and conditions.</w:t>
      </w:r>
    </w:p>
    <w:p>
      <w:pPr>
        <w:spacing w:after="0" w:line="163"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Warrants expire ten years after the grant date. Warrants not exercised by the warrantholder during the last exercise period shall become null and void without further notice or compensation or payment of any kind to the warrantholder. If the warrantholder is a consultant, advisor or board member, the exercise of warrants is conditional upon the warrantholder’s continued service to the Company at the time the warrants are exercised. If the consultant’s, advisor’s or board member’s relationship with the Company should cease without this being attributable to the warrantholder’s actions or omissions, the warrantholder shall be entitled to exercise vested warrants in the pre-defined exercise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Warrantholders are entitled to an adjustment of the number of warrants issued and/or the exercise price applicable in the event of certain corporate changes. Events giving rise to an adjustment include, among other things, increases or decreases to the share capital at a price below or above market value, the issuance of bonus shares, changes in the nominal value of each share, and payment of dividends in excess of 10% of the Company’s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and weighted average exercise prices of, and movements, in warrants: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Warrants (number)</w:t>
            </w:r>
          </w:p>
        </w:tc>
        <w:tc>
          <w:tcPr>
            <w:tcW w:w="17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(EUR)</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6,148,004</w:t>
            </w:r>
          </w:p>
        </w:tc>
        <w:tc>
          <w:tcPr>
            <w:tcW w:w="24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1,445,981</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8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(312,296 )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(196,616 )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7,085,073</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80.30</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4,022,011</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357,092</w:t>
            </w: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8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(214,613 )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(363,541 )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6,864,011</w:t>
            </w:r>
          </w:p>
        </w:tc>
        <w:tc>
          <w:tcPr>
            <w:tcW w:w="24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4,972,026</w:t>
            </w:r>
          </w:p>
        </w:tc>
        <w:tc>
          <w:tcPr>
            <w:tcW w:w="2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395,275</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8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(555,144 )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(180,358 )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6,523,784</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86.38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5,273,056</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-1810385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-1793240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-1972945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-1810385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-1793240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-1972945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-819150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-819150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-187325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-170180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-349885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-170180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-349885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440" w:hanging="512"/>
        <w:spacing w:after="0" w:line="296" w:lineRule="auto"/>
        <w:tabs>
          <w:tab w:leader="none" w:pos="5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share price (listed in $) at the date of exercise was €98.10, €113.60 and €124.62 for the years ended December 31, 2023, 2022 and 2021, respectively.</w:t>
      </w:r>
    </w:p>
    <w:p>
      <w:pPr>
        <w:spacing w:after="0" w:line="160"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8"/>
          <w:szCs w:val="18"/>
          <w:color w:val="auto"/>
        </w:rPr>
        <w:t>At December 31, 2023, the Board of Directors was authorized to grant up to 1,564,221 additional warrants to employees, board members and select consultants without preemptive subscription rights for the shareholders of Ascendis Pharma A/S.</w:t>
      </w:r>
    </w:p>
    <w:p>
      <w:pPr>
        <w:spacing w:after="0" w:line="16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The following table specifies the weighted average exercise prices and weighted average remaining contractual life for outstanding warrants at December 31, 2023 per grant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4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86"/>
        </w:trPr>
        <w:tc>
          <w:tcPr>
            <w:tcW w:w="65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(Number</w:t>
            </w: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(EUR)</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before January 1, 2021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4,717,462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2022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296,480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2023</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374,195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6,523,784</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86.38</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-24765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At December 31, 2023, the exercise prices of outstanding warrants under the Company’s warrant programs range from €11.98 to €145.50 depending on the grant dates.</w:t>
      </w:r>
    </w:p>
    <w:p>
      <w:pPr>
        <w:spacing w:after="0" w:line="163" w:lineRule="exact"/>
        <w:rPr>
          <w:sz w:val="20"/>
          <w:szCs w:val="20"/>
          <w:color w:val="auto"/>
        </w:rPr>
      </w:pPr>
    </w:p>
    <w:p>
      <w:pPr>
        <w:ind w:right="580"/>
        <w:spacing w:after="0" w:line="311" w:lineRule="auto"/>
        <w:rPr>
          <w:sz w:val="20"/>
          <w:szCs w:val="20"/>
          <w:color w:val="auto"/>
        </w:rPr>
      </w:pPr>
      <w:r>
        <w:rPr>
          <w:rFonts w:ascii="Times New Roman" w:cs="Times New Roman" w:eastAsia="Times New Roman" w:hAnsi="Times New Roman"/>
          <w:sz w:val="17"/>
          <w:szCs w:val="17"/>
          <w:color w:val="auto"/>
        </w:rPr>
        <w:t>The range of exercise prices for outstanding warrants was €6.48 to €145.50 for the years ended December 31, 2022 and 2021. The weighted average remaining life for outstanding warrants was 77 months and 87 months, for the financial years ended December 31, 2022 and 2021,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Compensation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compensation costs are recognized in the consolidated statements of profit or loss over the vesting period of the warrants granted.</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20" w:name="page221"/>
    <w:bookmarkEnd w:id="220"/>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Warrant compensation costs are determined with basis in the grant date fair value of the warrants granted and recognized over the vesting period. Fair value of the warrants is calculated at the grant dates by use of the Black-Scholes Option Pricing model with the following assumptions: (1) an exercise price equal to the estimated market price of the Company’s shares at the date of grant; (2) an expected lifetime of the warrants determined as a weighted average of the time from grant date to date of becoming exercisable and from grant date to expiry of the warrants; (3) a risk-free interest rate equaling the effective interest rate on a Danish government bond with the same lifetime as the warrants; (4) no payment of dividends; and (5) an expected volatility using the Company’s own share price (from 2021).</w:t>
      </w:r>
    </w:p>
    <w:p>
      <w:pPr>
        <w:spacing w:after="0" w:line="18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input to the Black-Scholes Option Pricing model and the calculated fair values for warrant grants in 2023,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r>
      <w:tr>
        <w:trPr>
          <w:trHeight w:val="23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49-51 %</w:t>
            </w:r>
          </w:p>
        </w:tc>
        <w:tc>
          <w:tcPr>
            <w:tcW w:w="52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48-49 %</w:t>
            </w:r>
          </w:p>
        </w:tc>
        <w:tc>
          <w:tcPr>
            <w:tcW w:w="5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 – 49 %</w:t>
            </w: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2.40 - 2.97 %</w:t>
            </w:r>
          </w:p>
        </w:tc>
        <w:tc>
          <w:tcPr>
            <w:tcW w:w="52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 - 2.54 %</w:t>
            </w:r>
          </w:p>
        </w:tc>
        <w:tc>
          <w:tcPr>
            <w:tcW w:w="5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(0.54)–(0.27) %</w:t>
            </w:r>
          </w:p>
        </w:tc>
      </w:tr>
      <w:tr>
        <w:trPr>
          <w:trHeight w:val="26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52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2"/>
                <w:szCs w:val="22"/>
                <w:color w:val="auto"/>
              </w:rPr>
            </w:pPr>
          </w:p>
        </w:tc>
      </w:tr>
      <w:tr>
        <w:trPr>
          <w:trHeight w:val="24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38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36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240" w:type="dxa"/>
            <w:vAlign w:val="bottom"/>
          </w:tcPr>
          <w:p>
            <w:pPr>
              <w:spacing w:after="0"/>
              <w:rPr>
                <w:sz w:val="21"/>
                <w:szCs w:val="21"/>
                <w:color w:val="auto"/>
              </w:rPr>
            </w:pPr>
          </w:p>
        </w:tc>
      </w:tr>
      <w:tr>
        <w:trPr>
          <w:trHeight w:val="2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granted in the year</w:t>
            </w:r>
          </w:p>
        </w:tc>
        <w:tc>
          <w:tcPr>
            <w:tcW w:w="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37.34 - 52.03</w:t>
            </w:r>
          </w:p>
        </w:tc>
        <w:tc>
          <w:tcPr>
            <w:tcW w:w="380" w:type="dxa"/>
            <w:vAlign w:val="bottom"/>
            <w:shd w:val="clear" w:color="auto" w:fill="CFF0FC"/>
          </w:tcPr>
          <w:p>
            <w:pPr>
              <w:spacing w:after="0"/>
              <w:rPr>
                <w:sz w:val="22"/>
                <w:szCs w:val="22"/>
                <w:color w:val="auto"/>
              </w:rPr>
            </w:pPr>
          </w:p>
        </w:tc>
        <w:tc>
          <w:tcPr>
            <w:tcW w:w="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36.55 - 60.85</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45.91 – 64.28</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Principal Accountant Fees and Services</w:t>
      </w:r>
    </w:p>
    <w:p>
      <w:pPr>
        <w:spacing w:after="0" w:line="12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the Company’s independent public accountants and the proportion of each of the fees out of the total amount billed by the accountants.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r>
      <w:tr>
        <w:trPr>
          <w:trHeight w:val="246"/>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 accountant fees and services</w:t>
            </w:r>
          </w:p>
        </w:tc>
        <w:tc>
          <w:tcPr>
            <w:tcW w:w="98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1"/>
        </w:trPr>
        <w:tc>
          <w:tcPr>
            <w:tcW w:w="756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F-31</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2"/>
        </w:trPr>
        <w:tc>
          <w:tcPr>
            <w:tcW w:w="6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-793750</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-776605</wp:posOffset>
            </wp:positionV>
            <wp:extent cx="768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-793750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-776605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-793750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-776605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Note 9—Tax on Profit/(Loss) for the Year and Deferred Tax</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on profit/(loss) for the year:</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(expense)/income</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(5,377 )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(3,723 )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adjustments to prior years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(1,654 )</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movement for the year</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adjustments to prior years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(4,786 )</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58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(7,303 )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(5,377 )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for the year can be explained as follows:</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Profit/(loss) before tax</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(474,144 )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(577,817 )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(383,944 )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at the Danish corporation tax rate of 22%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104,312</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127,120</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84,468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effect of:</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costs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(8,494 )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(17,094 )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(14,800 )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tax deductions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from associate</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(4,047 )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(3,893 )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 adjustments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effects including effect of different tax rates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(882 )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(2,716 )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(105,975 )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(122,514 )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(89,892 )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on profit/(loss) for the year</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(7,303 )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(5,377 )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1.54 %</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0.93 %</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(0.10 )%</w:t>
            </w:r>
          </w:p>
        </w:tc>
        <w:tc>
          <w:tcPr>
            <w:tcW w:w="0" w:type="dxa"/>
            <w:vAlign w:val="bottom"/>
          </w:tcPr>
          <w:p>
            <w:pPr>
              <w:spacing w:after="0"/>
              <w:rPr>
                <w:sz w:val="1"/>
                <w:szCs w:val="1"/>
                <w:color w:val="auto"/>
              </w:rPr>
            </w:pPr>
          </w:p>
        </w:tc>
      </w:tr>
      <w:tr>
        <w:trPr>
          <w:trHeight w:val="244"/>
        </w:trPr>
        <w:tc>
          <w:tcPr>
            <w:tcW w:w="65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Specification of Deferred Tax Assets/(Liabilities)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deductible losses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521,697</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433,174</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313,011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temporary differences,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(537,953 )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(453,135 )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(325,867 )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temporary differences, liabilities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(5,830 )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Assets/(Liabilities) at December 31</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(5,830 )</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-3458845</wp:posOffset>
            </wp:positionV>
            <wp:extent cx="768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-3458845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-3458845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-1597025</wp:posOffset>
            </wp:positionV>
            <wp:extent cx="768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-1579880</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-1597025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-1579880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-1597025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-1579880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-24765</wp:posOffset>
            </wp:positionV>
            <wp:extent cx="768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At December 31, 2023, a deferred tax liability has been recognized in relation to taxable temporary differences in one jurisdiction, as we do not believe we will have any deductible temporary differences nor tax losses to utilize against the taxable difference, when it is expected to be reversed.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have not been recognized in the statements of financial position at December 31, 2023 due to uncertainty relating to future utilization.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 can be carried forward without timing limitations.</w:t>
      </w:r>
    </w:p>
    <w:p>
      <w:pPr>
        <w:spacing w:after="0" w:line="20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Company had tax losses carried forward of €2,371.3 million and €1,985.0 million at December 31, 2023 and 2022, respectively. Tax losses can be carried forward indefinitely, where certain limitations exist for amounts to be utilized each year. Under Danish tax legislation, tax losses may be partly refunded by the tax authorities to the extent such tax losses arise from research and development activities. The jointly taxed Danish entities had a negative taxable income, and accordingly were entitled to a tax refund of approximately €0.7 million for each of the years ended December 31, 2023, 2022 and 2021, respectively.</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Company is entitled to additional tax deductions related to share based payments (Warrants, RSUs and PSUs). Tax deductions can be taken when the warrants/RSUs/PSUs are exercised. For the year ended December 31, 2023, the Company was entitled to additional tax deductions with a tax value of €10.6 million, compared to €5.2 million and €4.8 million for the years ended December 31, 2022, and 2021, respectively. These future tax deductions depend on the timing and amounts of warrant exercises, and accordingly, future additional tax deductions are subject to uncertainties. Refer to Note 7, “Share-based Payment”, regarding a description of warrant programs.</w:t>
      </w:r>
    </w:p>
    <w:p>
      <w:pPr>
        <w:spacing w:after="0" w:line="183"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The Parent Company Ascendis Pharma A/S is jointly taxed with its Danish subsidiaries. The current Danish corporation tax is allocated between the jointly taxed Danish companies in proportion to their taxable income (full absorption with refunds for tax losses). The jointly taxed companies are included in the on-account tax scheme.</w:t>
      </w:r>
    </w:p>
    <w:p>
      <w:pPr>
        <w:spacing w:after="0" w:line="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682"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Note 10—Intangible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Pr>
          <w:p>
            <w:pPr>
              <w:spacing w:after="0"/>
              <w:rPr>
                <w:sz w:val="16"/>
                <w:szCs w:val="16"/>
                <w:color w:val="auto"/>
              </w:rPr>
            </w:pPr>
          </w:p>
        </w:tc>
        <w:tc>
          <w:tcPr>
            <w:tcW w:w="158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60" w:type="dxa"/>
            <w:vAlign w:val="bottom"/>
            <w:gridSpan w:val="2"/>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8"/>
        </w:trPr>
        <w:tc>
          <w:tcPr>
            <w:tcW w:w="65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20"/>
                <w:szCs w:val="20"/>
                <w:color w:val="auto"/>
              </w:rPr>
            </w:pPr>
          </w:p>
        </w:tc>
      </w:tr>
      <w:tr>
        <w:trPr>
          <w:trHeight w:val="238"/>
        </w:trPr>
        <w:tc>
          <w:tcPr>
            <w:tcW w:w="65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5,717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22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2,296</w:t>
            </w:r>
          </w:p>
        </w:tc>
        <w:tc>
          <w:tcPr>
            <w:tcW w:w="22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5,791</w:t>
            </w:r>
          </w:p>
        </w:tc>
        <w:tc>
          <w:tcPr>
            <w:tcW w:w="100" w:type="dxa"/>
            <w:vAlign w:val="bottom"/>
          </w:tcPr>
          <w:p>
            <w:pPr>
              <w:spacing w:after="0"/>
              <w:rPr>
                <w:sz w:val="20"/>
                <w:szCs w:val="20"/>
                <w:color w:val="auto"/>
              </w:rPr>
            </w:pPr>
          </w:p>
        </w:tc>
      </w:tr>
      <w:tr>
        <w:trPr>
          <w:trHeight w:val="23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and impairment</w:t>
            </w:r>
          </w:p>
        </w:tc>
        <w:tc>
          <w:tcPr>
            <w:tcW w:w="1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(445 )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(445 )</w:t>
            </w: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charge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(444 )</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3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charge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(483 )</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3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4,828</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2"/>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-2139315</wp:posOffset>
            </wp:positionV>
            <wp:extent cx="102235" cy="1962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02235" cy="1962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93980" cy="1962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7056755</wp:posOffset>
            </wp:positionH>
            <wp:positionV relativeFrom="paragraph">
              <wp:posOffset>-2139315</wp:posOffset>
            </wp:positionV>
            <wp:extent cx="93980" cy="1962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-1660525</wp:posOffset>
            </wp:positionV>
            <wp:extent cx="102235" cy="1962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2235" cy="1962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-1660525</wp:posOffset>
            </wp:positionV>
            <wp:extent cx="93980" cy="1962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7056755</wp:posOffset>
            </wp:positionH>
            <wp:positionV relativeFrom="paragraph">
              <wp:posOffset>-1660525</wp:posOffset>
            </wp:positionV>
            <wp:extent cx="93980" cy="1962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-1028700</wp:posOffset>
            </wp:positionV>
            <wp:extent cx="102235" cy="1962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2235" cy="1962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-1028700</wp:posOffset>
            </wp:positionV>
            <wp:extent cx="93980" cy="1962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7056755</wp:posOffset>
            </wp:positionH>
            <wp:positionV relativeFrom="paragraph">
              <wp:posOffset>-1028700</wp:posOffset>
            </wp:positionV>
            <wp:extent cx="93980" cy="1962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-704215</wp:posOffset>
            </wp:positionV>
            <wp:extent cx="102235" cy="1962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2235" cy="1962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-704215</wp:posOffset>
            </wp:positionV>
            <wp:extent cx="93980" cy="1962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7056755</wp:posOffset>
            </wp:positionH>
            <wp:positionV relativeFrom="paragraph">
              <wp:posOffset>-704215</wp:posOffset>
            </wp:positionV>
            <wp:extent cx="93980" cy="1962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93980" cy="19621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-366395</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-366395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-366395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-24765</wp:posOffset>
            </wp:positionV>
            <wp:extent cx="768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At the reporting date, no internally generated intangible assets from development of pharmaceutical drug candidates have been recognized. Thus, all related research and development costs incurred for the years ended December 31, 2023, 2022, and 2021, were recognized in the consolidated statements of profit or loss.</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Goodwill relates to the acquisition of Complex Biosystems GmbH (now Ascendis Pharma GmbH) in 2007. Goodwill was calculated as the excess amount of the purchase price to the fair value of identifiable assets acquired, and liabilities assumed at the acquisition date. Ascendis Pharma GmbH was initially a separate technology platform company but is now an integral part of the Company’s research and development activities. Accordingly, it is not possible to look separately at Ascendis Pharma GmbH when considering the recoverable amount of the goodwill. Goodwill is monitored and tested for impairment on a consolidated level as the Company is considered to represent one cash-generating unit.</w:t>
      </w:r>
    </w:p>
    <w:p>
      <w:pPr>
        <w:spacing w:after="0" w:line="18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The recoverable amount of the cash-generating unit is determined based on an estimation of the Company’s fair value less costs of disposal. The fair value of goodwill has been determined after taking into account the market value of the Company’s ADSs as of the reporting date. The computation of the market value including an estimation of selling costs, significantly exceeded the carrying amount of the net assets, leaving sufficient value to cover the carrying amount of goodwill. Considering the excess value, no further assumptions are deemed relevant to be applied in determining whether goodwill is impaired.</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Note 11—Property, Plant and Equipment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4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Improve-</w:t>
            </w:r>
          </w:p>
        </w:tc>
        <w:tc>
          <w:tcPr>
            <w:tcW w:w="142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ments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116,135</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(395 )</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(5,480 )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(5,907 )</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24,944</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11,203</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20,130</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119,466</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4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(504 )</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(3,093 )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(3,989 )</w:t>
            </w:r>
          </w:p>
        </w:tc>
        <w:tc>
          <w:tcPr>
            <w:tcW w:w="0" w:type="dxa"/>
            <w:vAlign w:val="bottom"/>
          </w:tcPr>
          <w:p>
            <w:pPr>
              <w:spacing w:after="0"/>
              <w:rPr>
                <w:sz w:val="1"/>
                <w:szCs w:val="1"/>
                <w:color w:val="auto"/>
              </w:rPr>
            </w:pPr>
          </w:p>
        </w:tc>
      </w:tr>
      <w:tr>
        <w:trPr>
          <w:trHeight w:val="238"/>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27,436</w:t>
            </w: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11,420</w:t>
            </w: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19,375</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123,920</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182,151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impairment</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(5,527 )</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(3,547 )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(2,488 )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(22,359 )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(33,921 )</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(2,039 )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(1,793 )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(1,942 )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(11,740 )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(17,514 )</w:t>
            </w:r>
          </w:p>
        </w:tc>
        <w:tc>
          <w:tcPr>
            <w:tcW w:w="0" w:type="dxa"/>
            <w:vAlign w:val="bottom"/>
          </w:tcPr>
          <w:p>
            <w:pPr>
              <w:spacing w:after="0"/>
              <w:rPr>
                <w:sz w:val="1"/>
                <w:szCs w:val="1"/>
                <w:color w:val="auto"/>
              </w:rPr>
            </w:pPr>
          </w:p>
        </w:tc>
      </w:tr>
      <w:tr>
        <w:trPr>
          <w:trHeight w:val="24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(7,584 )</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(5,023 )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(4,497 )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(29,544 )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(46,648 )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(2,569 )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(1,899 )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(2,085 )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(11,875 )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(18,428 )</w:t>
            </w:r>
          </w:p>
        </w:tc>
        <w:tc>
          <w:tcPr>
            <w:tcW w:w="0" w:type="dxa"/>
            <w:vAlign w:val="bottom"/>
          </w:tcPr>
          <w:p>
            <w:pPr>
              <w:spacing w:after="0"/>
              <w:rPr>
                <w:sz w:val="1"/>
                <w:szCs w:val="1"/>
                <w:color w:val="auto"/>
              </w:rPr>
            </w:pPr>
          </w:p>
        </w:tc>
      </w:tr>
      <w:tr>
        <w:trPr>
          <w:trHeight w:val="24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(2,869 )</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(405 )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(4,560 )</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(7,834 )</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(12,784 )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(7,175 )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(10,946 )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(40,612 )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(71,517 )</w:t>
            </w:r>
          </w:p>
        </w:tc>
        <w:tc>
          <w:tcPr>
            <w:tcW w:w="0" w:type="dxa"/>
            <w:vAlign w:val="bottom"/>
          </w:tcPr>
          <w:p>
            <w:pPr>
              <w:spacing w:after="0"/>
              <w:rPr>
                <w:sz w:val="1"/>
                <w:szCs w:val="1"/>
                <w:color w:val="auto"/>
              </w:rPr>
            </w:pPr>
          </w:p>
        </w:tc>
      </w:tr>
      <w:tr>
        <w:trPr>
          <w:trHeight w:val="23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17,360</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6,180</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15,633</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89,922</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14,652</w:t>
            </w:r>
          </w:p>
        </w:tc>
        <w:tc>
          <w:tcPr>
            <w:tcW w:w="2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4,245</w:t>
            </w: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8,429</w:t>
            </w:r>
          </w:p>
        </w:tc>
        <w:tc>
          <w:tcPr>
            <w:tcW w:w="2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83,308</w:t>
            </w:r>
          </w:p>
        </w:tc>
        <w:tc>
          <w:tcPr>
            <w:tcW w:w="2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110,634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-3194050</wp:posOffset>
            </wp:positionV>
            <wp:extent cx="768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-3194050</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-3194050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-3194050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-3194050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-2245995</wp:posOffset>
            </wp:positionV>
            <wp:extent cx="768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-2245995</wp:posOffset>
            </wp:positionV>
            <wp:extent cx="768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-2245995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-2245995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-2245995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-1306195</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-1306195</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-1306195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-1306195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-1306195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-682625</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-682625</wp:posOffset>
            </wp:positionV>
            <wp:extent cx="768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-682625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-682625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-682625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-24765</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-7620</wp:posOffset>
            </wp:positionV>
            <wp:extent cx="768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-24765</wp:posOffset>
            </wp:positionV>
            <wp:extent cx="768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-7620</wp:posOffset>
            </wp:positionV>
            <wp:extent cx="768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-24765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-7620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-24765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-7620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impairment charge for the year ended December 31, 2023, relates to change in planned activities at one of our R&amp;D sites and is determined according to its estimated value in use.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charges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Pr>
          <w:p>
            <w:pPr>
              <w:spacing w:after="0"/>
              <w:rPr>
                <w:sz w:val="16"/>
                <w:szCs w:val="16"/>
                <w:color w:val="auto"/>
              </w:rPr>
            </w:pP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charges</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744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r>
      <w:tr>
        <w:trPr>
          <w:trHeight w:val="242"/>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20"/>
                <w:szCs w:val="20"/>
                <w:color w:val="auto"/>
              </w:rPr>
            </w:pP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charges</w:t>
            </w:r>
          </w:p>
        </w:tc>
        <w:tc>
          <w:tcPr>
            <w:tcW w:w="86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18,428</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17,514</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-24765</wp:posOffset>
            </wp:positionV>
            <wp:extent cx="768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hanging="513"/>
        <w:spacing w:after="0"/>
        <w:tabs>
          <w:tab w:leader="none" w:pos="6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sales includes depreciation charges capitalized as part of inventories.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Note 12—Investment in Associate</w:t>
      </w:r>
    </w:p>
    <w:p>
      <w:pPr>
        <w:spacing w:after="0" w:line="12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VISEN is a private company with business activities within development, manufacturing and commercialization of endocrinology rare disease therapies in Greater China. The Company’s interest in VISEN is accounted for as an associate using the equity method in the consolidated financial statements as the Company has determined that it has significant influence but not joint control.</w:t>
      </w:r>
    </w:p>
    <w:p>
      <w:pPr>
        <w:spacing w:after="0" w:line="175"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 Company has granted VISEN exclusive rights to develop and commercialize TransCon hGH, TransCon PTH and TransCon CNP in Greater China, and as consideration for the granting of such rights has received a 50% ownership of VISEN’s issued and outstanding shares. On January 8, 2021, the Company entered into an equity investment of $12.5 million as part of VISEN’s $150.0 million Series B financing. Following VISEN’s Series B financing, the Company retained 43.93% of VISEN’s issued and outstanding shares. As a result, a non-cash gain of €42.3 million was recognized in the consolidated statement of profit or loss as part of share of profit/(loss) of associate in 2021. The Series B financing did not change the accounting treatment of VISEN.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the summarized relevant financial information of VISEN: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3"/>
        </w:trPr>
        <w:tc>
          <w:tcPr>
            <w:tcW w:w="7680" w:type="dxa"/>
            <w:vAlign w:val="bottom"/>
          </w:tcPr>
          <w:p>
            <w:pPr>
              <w:spacing w:after="0"/>
              <w:rPr>
                <w:sz w:val="24"/>
                <w:szCs w:val="24"/>
                <w:color w:val="auto"/>
              </w:rPr>
            </w:pPr>
          </w:p>
        </w:tc>
        <w:tc>
          <w:tcPr>
            <w:tcW w:w="2820" w:type="dxa"/>
            <w:vAlign w:val="bottom"/>
            <w:gridSpan w:val="4"/>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9"/>
              </w:rPr>
              <w:t>VISEN Pharmaceuticals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9"/>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place of business</w:t>
            </w:r>
          </w:p>
        </w:tc>
        <w:tc>
          <w:tcPr>
            <w:tcW w:w="1820" w:type="dxa"/>
            <w:vAlign w:val="bottom"/>
            <w:gridSpan w:val="3"/>
            <w:shd w:val="clear" w:color="auto" w:fill="CFF0FC"/>
          </w:tcPr>
          <w:p>
            <w:pPr>
              <w:jc w:val="center"/>
              <w:ind w:right="288"/>
              <w:spacing w:after="0"/>
              <w:rPr>
                <w:sz w:val="20"/>
                <w:szCs w:val="20"/>
                <w:color w:val="auto"/>
              </w:rPr>
            </w:pPr>
            <w:r>
              <w:rPr>
                <w:rFonts w:ascii="Times New Roman" w:cs="Times New Roman" w:eastAsia="Times New Roman" w:hAnsi="Times New Roman"/>
                <w:sz w:val="18"/>
                <w:szCs w:val="18"/>
                <w:color w:val="auto"/>
                <w:w w:val="97"/>
              </w:rPr>
              <w:t>China</w:t>
            </w: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76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20" w:type="dxa"/>
            <w:vAlign w:val="bottom"/>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for the year from continuing operations</w:t>
            </w:r>
          </w:p>
        </w:tc>
        <w:tc>
          <w:tcPr>
            <w:tcW w:w="10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(41,873 )</w:t>
            </w:r>
          </w:p>
        </w:tc>
        <w:tc>
          <w:tcPr>
            <w:tcW w:w="9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(40,283 )</w:t>
            </w:r>
          </w:p>
        </w:tc>
        <w:tc>
          <w:tcPr>
            <w:tcW w:w="6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(41,859 )</w:t>
            </w:r>
          </w:p>
        </w:tc>
        <w:tc>
          <w:tcPr>
            <w:tcW w:w="9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(40,273 )</w:t>
            </w:r>
          </w:p>
        </w:tc>
        <w:tc>
          <w:tcPr>
            <w:tcW w:w="60" w:type="dxa"/>
            <w:vAlign w:val="bottom"/>
          </w:tcPr>
          <w:p>
            <w:pPr>
              <w:spacing w:after="0"/>
              <w:rPr>
                <w:sz w:val="20"/>
                <w:szCs w:val="20"/>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48,041</w:t>
            </w: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57,637</w:t>
            </w:r>
          </w:p>
        </w:tc>
        <w:tc>
          <w:tcPr>
            <w:tcW w:w="2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113,614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51,078</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57,637</w:t>
            </w:r>
          </w:p>
        </w:tc>
        <w:tc>
          <w:tcPr>
            <w:tcW w:w="2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113,614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Company’s share of equity before eliminations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22,438</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Elimination of internal profit and other equity method adjustments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(16,752 )</w:t>
            </w:r>
          </w:p>
        </w:tc>
        <w:tc>
          <w:tcPr>
            <w:tcW w:w="9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(21,025 )</w:t>
            </w:r>
          </w:p>
        </w:tc>
        <w:tc>
          <w:tcPr>
            <w:tcW w:w="60" w:type="dxa"/>
            <w:vAlign w:val="bottom"/>
          </w:tcPr>
          <w:p>
            <w:pPr>
              <w:spacing w:after="0"/>
              <w:rPr>
                <w:sz w:val="20"/>
                <w:szCs w:val="20"/>
                <w:color w:val="auto"/>
              </w:rPr>
            </w:pPr>
          </w:p>
        </w:tc>
      </w:tr>
      <w:tr>
        <w:trPr>
          <w:trHeight w:val="238"/>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Company’s share of equity</w:t>
            </w:r>
          </w:p>
        </w:tc>
        <w:tc>
          <w:tcPr>
            <w:tcW w:w="10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5,686</w:t>
            </w:r>
          </w:p>
        </w:tc>
        <w:tc>
          <w:tcPr>
            <w:tcW w:w="24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22,932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associate at December 31</w:t>
            </w:r>
          </w:p>
        </w:tc>
        <w:tc>
          <w:tcPr>
            <w:tcW w:w="100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5,686</w:t>
            </w:r>
          </w:p>
        </w:tc>
        <w:tc>
          <w:tcPr>
            <w:tcW w:w="2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22,932</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ownership at December 31</w:t>
            </w:r>
          </w:p>
        </w:tc>
        <w:tc>
          <w:tcPr>
            <w:tcW w:w="10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43.93 %</w:t>
            </w:r>
          </w:p>
        </w:tc>
        <w:tc>
          <w:tcPr>
            <w:tcW w:w="9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43.93 %</w:t>
            </w:r>
          </w:p>
        </w:tc>
      </w:tr>
      <w:tr>
        <w:trPr>
          <w:trHeight w:val="24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as of December 31</w:t>
            </w: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Invoicing of goods and services to associate</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 from associate</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92"/>
        </w:trPr>
        <w:tc>
          <w:tcPr>
            <w:tcW w:w="86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2"/>
        </w:trPr>
        <w:tc>
          <w:tcPr>
            <w:tcW w:w="7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-3663950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-3663950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-3032125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-3032125</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-2399665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-2399665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-2083435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-2083435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-1758950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-1741805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-1741805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-1101090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-1101090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897" w:right="2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Note 13—Inventories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8"/>
        </w:trPr>
        <w:tc>
          <w:tcPr>
            <w:tcW w:w="7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Pr>
          <w:p>
            <w:pPr>
              <w:spacing w:after="0"/>
              <w:rPr>
                <w:sz w:val="20"/>
                <w:szCs w:val="20"/>
                <w:color w:val="auto"/>
              </w:rPr>
            </w:pPr>
          </w:p>
        </w:tc>
      </w:tr>
      <w:tr>
        <w:trPr>
          <w:trHeight w:val="24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171,030</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112,885</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00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208,931</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130,673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-24765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-7620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production lead time, work in progress includes inventories that are not sellable before more than twelve months after the reporting 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inventories were reduced by write-downs of €22.9 million, which include write-downs on pre-launch inventories.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14—Contract Liabilities</w:t>
      </w:r>
    </w:p>
    <w:p>
      <w:pPr>
        <w:spacing w:after="0" w:line="120"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8"/>
          <w:szCs w:val="18"/>
          <w:color w:val="auto"/>
        </w:rPr>
        <w:t>At December 31, 2023, contract liabilities comprise unsatisfied performance obligations relating to delivery of commercial supply under one of the Company’s license agreements. Non-current contract liabilities are expected to be recognized as revenue within 1-3 years.</w:t>
      </w:r>
    </w:p>
    <w:p>
      <w:pPr>
        <w:spacing w:after="0" w:line="163"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Revenue recognized from contract liabilities was €13.3 million, €10.5 million and €0.4 million for the years ended December 31, 2023, 2022 and 2021, respectively, and primarily related to delivery of clinical supply and research and development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provisions is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7340" w:type="dxa"/>
            <w:vAlign w:val="bottom"/>
            <w:gridSpan w:val="2"/>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8"/>
        </w:trPr>
        <w:tc>
          <w:tcPr>
            <w:tcW w:w="39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r>
      <w:tr>
        <w:trPr>
          <w:trHeight w:val="242"/>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5340" w:type="dxa"/>
            <w:vAlign w:val="bottom"/>
            <w:shd w:val="clear" w:color="auto" w:fill="CFF0FC"/>
          </w:tcPr>
          <w:p>
            <w:pPr>
              <w:spacing w:after="0"/>
              <w:rPr>
                <w:sz w:val="21"/>
                <w:szCs w:val="21"/>
                <w:color w:val="auto"/>
              </w:rPr>
            </w:pPr>
          </w:p>
        </w:tc>
        <w:tc>
          <w:tcPr>
            <w:tcW w:w="2000" w:type="dxa"/>
            <w:vAlign w:val="bottom"/>
            <w:shd w:val="clear" w:color="auto" w:fill="CFF0FC"/>
          </w:tcPr>
          <w:p>
            <w:pPr>
              <w:spacing w:after="0"/>
              <w:rPr>
                <w:sz w:val="21"/>
                <w:szCs w:val="2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w:t>
            </w: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7,339</w:t>
            </w: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additions</w:t>
            </w:r>
          </w:p>
        </w:tc>
        <w:tc>
          <w:tcPr>
            <w:tcW w:w="7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28,293</w:t>
            </w: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Reversals and other adjustments</w:t>
            </w: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42"/>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53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534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32,719</w:t>
            </w:r>
          </w:p>
        </w:tc>
      </w:tr>
      <w:tr>
        <w:trPr>
          <w:trHeight w:val="20"/>
        </w:trPr>
        <w:tc>
          <w:tcPr>
            <w:tcW w:w="39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521"/>
        </w:trPr>
        <w:tc>
          <w:tcPr>
            <w:tcW w:w="3900" w:type="dxa"/>
            <w:vAlign w:val="bottom"/>
          </w:tcPr>
          <w:p>
            <w:pPr>
              <w:spacing w:after="0"/>
              <w:rPr>
                <w:sz w:val="24"/>
                <w:szCs w:val="24"/>
                <w:color w:val="auto"/>
              </w:rPr>
            </w:pPr>
          </w:p>
        </w:tc>
        <w:tc>
          <w:tcPr>
            <w:tcW w:w="7340" w:type="dxa"/>
            <w:vAlign w:val="bottom"/>
            <w:gridSpan w:val="2"/>
          </w:tcPr>
          <w:p>
            <w:pPr>
              <w:jc w:val="right"/>
              <w:ind w:right="5356"/>
              <w:spacing w:after="0"/>
              <w:rPr>
                <w:sz w:val="20"/>
                <w:szCs w:val="20"/>
                <w:color w:val="auto"/>
              </w:rPr>
            </w:pPr>
            <w:r>
              <w:rPr>
                <w:rFonts w:ascii="Times New Roman" w:cs="Times New Roman" w:eastAsia="Times New Roman" w:hAnsi="Times New Roman"/>
                <w:sz w:val="18"/>
                <w:szCs w:val="18"/>
                <w:color w:val="auto"/>
              </w:rPr>
              <w:t>F-36</w:t>
            </w:r>
          </w:p>
        </w:tc>
      </w:tr>
      <w:tr>
        <w:trPr>
          <w:trHeight w:val="652"/>
        </w:trPr>
        <w:tc>
          <w:tcPr>
            <w:tcW w:w="39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Note 16—Financial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comprise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8"/>
        </w:trPr>
        <w:tc>
          <w:tcPr>
            <w:tcW w:w="7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by category</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tcPr>
          <w:p>
            <w:pPr>
              <w:spacing w:after="0"/>
              <w:rPr>
                <w:sz w:val="20"/>
                <w:szCs w:val="20"/>
                <w:color w:val="auto"/>
              </w:rPr>
            </w:pPr>
          </w:p>
        </w:tc>
      </w:tr>
      <w:tr>
        <w:trPr>
          <w:trHeight w:val="24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(excluding income tax and indirect tax receivables)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298,180</w:t>
            </w:r>
          </w:p>
        </w:tc>
        <w:tc>
          <w:tcPr>
            <w:tcW w:w="100" w:type="dxa"/>
            <w:vAlign w:val="bottom"/>
          </w:tcPr>
          <w:p>
            <w:pPr>
              <w:spacing w:after="0"/>
              <w:rPr>
                <w:sz w:val="20"/>
                <w:szCs w:val="20"/>
                <w:color w:val="auto"/>
              </w:rPr>
            </w:pPr>
          </w:p>
        </w:tc>
      </w:tr>
      <w:tr>
        <w:trPr>
          <w:trHeight w:val="242"/>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392,164</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439,222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758,741</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0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439,222</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758,741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437,095</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749,329</w:t>
            </w:r>
          </w:p>
        </w:tc>
        <w:tc>
          <w:tcPr>
            <w:tcW w:w="100" w:type="dxa"/>
            <w:vAlign w:val="bottom"/>
          </w:tcPr>
          <w:p>
            <w:pPr>
              <w:spacing w:after="0"/>
              <w:rPr>
                <w:sz w:val="20"/>
                <w:szCs w:val="20"/>
                <w:color w:val="auto"/>
              </w:rPr>
            </w:pPr>
          </w:p>
        </w:tc>
      </w:tr>
      <w:tr>
        <w:trPr>
          <w:trHeight w:val="278"/>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439,222</w:t>
            </w:r>
          </w:p>
        </w:tc>
        <w:tc>
          <w:tcPr>
            <w:tcW w:w="24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758,741</w:t>
            </w:r>
          </w:p>
        </w:tc>
        <w:tc>
          <w:tcPr>
            <w:tcW w:w="100" w:type="dxa"/>
            <w:vAlign w:val="bottom"/>
            <w:shd w:val="clear" w:color="auto" w:fill="CFF0FC"/>
          </w:tcPr>
          <w:p>
            <w:pPr>
              <w:spacing w:after="0"/>
              <w:rPr>
                <w:sz w:val="24"/>
                <w:szCs w:val="24"/>
                <w:color w:val="auto"/>
              </w:rPr>
            </w:pPr>
          </w:p>
        </w:tc>
      </w:tr>
      <w:tr>
        <w:trPr>
          <w:trHeight w:val="225"/>
        </w:trPr>
        <w:tc>
          <w:tcPr>
            <w:tcW w:w="768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2"/>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by category</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8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407,095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00" w:type="dxa"/>
            <w:vAlign w:val="bottom"/>
            <w:shd w:val="clear" w:color="auto" w:fill="CFF0FC"/>
          </w:tcPr>
          <w:p>
            <w:pPr>
              <w:spacing w:after="0"/>
              <w:rPr>
                <w:sz w:val="21"/>
                <w:szCs w:val="21"/>
                <w:color w:val="auto"/>
              </w:rPr>
            </w:pPr>
          </w:p>
        </w:tc>
      </w:tr>
      <w:tr>
        <w:trPr>
          <w:trHeight w:val="238"/>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138,377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00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738,831</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609,409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143,296</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00" w:type="dxa"/>
            <w:vAlign w:val="bottom"/>
          </w:tcPr>
          <w:p>
            <w:pPr>
              <w:spacing w:after="0"/>
              <w:rPr>
                <w:sz w:val="19"/>
                <w:szCs w:val="19"/>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00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143,296</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882,127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767,359</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762,161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640,907</w:t>
            </w:r>
          </w:p>
        </w:tc>
        <w:tc>
          <w:tcPr>
            <w:tcW w:w="100" w:type="dxa"/>
            <w:vAlign w:val="bottom"/>
          </w:tcPr>
          <w:p>
            <w:pPr>
              <w:spacing w:after="0"/>
              <w:rPr>
                <w:sz w:val="20"/>
                <w:szCs w:val="20"/>
                <w:color w:val="auto"/>
              </w:rPr>
            </w:pPr>
          </w:p>
        </w:tc>
      </w:tr>
      <w:tr>
        <w:trPr>
          <w:trHeight w:val="242"/>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119,966</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882,127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767,359</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-3450590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-3450590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-3108960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-3091815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-3108960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-3091815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-2459355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-2442210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-2459355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-2442210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-1195070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-1177925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-1195070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-1177925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-853440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-836295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-853440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-836295</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-187325</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and expenses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Pr>
          <w:p>
            <w:pPr>
              <w:spacing w:after="0"/>
              <w:rPr>
                <w:sz w:val="16"/>
                <w:szCs w:val="16"/>
                <w:color w:val="auto"/>
              </w:rPr>
            </w:pPr>
          </w:p>
        </w:tc>
        <w:tc>
          <w:tcPr>
            <w:tcW w:w="158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46"/>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gains, derivatives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adjustments gain (net)</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100" w:type="dxa"/>
            <w:vAlign w:val="bottom"/>
          </w:tcPr>
          <w:p>
            <w:pPr>
              <w:spacing w:after="0"/>
              <w:rPr>
                <w:sz w:val="20"/>
                <w:szCs w:val="20"/>
                <w:color w:val="auto"/>
              </w:rPr>
            </w:pPr>
          </w:p>
        </w:tc>
      </w:tr>
      <w:tr>
        <w:trPr>
          <w:trHeight w:val="278"/>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43,857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52,181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59,718</w:t>
            </w:r>
          </w:p>
        </w:tc>
        <w:tc>
          <w:tcPr>
            <w:tcW w:w="100" w:type="dxa"/>
            <w:vAlign w:val="bottom"/>
            <w:shd w:val="clear" w:color="auto" w:fill="CFF0FC"/>
          </w:tcPr>
          <w:p>
            <w:pPr>
              <w:spacing w:after="0"/>
              <w:rPr>
                <w:sz w:val="24"/>
                <w:szCs w:val="24"/>
                <w:color w:val="auto"/>
              </w:rPr>
            </w:pPr>
          </w:p>
        </w:tc>
      </w:tr>
      <w:tr>
        <w:trPr>
          <w:trHeight w:val="225"/>
        </w:trPr>
        <w:tc>
          <w:tcPr>
            <w:tcW w:w="658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2"/>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0"/>
                <w:szCs w:val="20"/>
                <w:color w:val="auto"/>
              </w:rPr>
            </w:pPr>
          </w:p>
        </w:tc>
      </w:tr>
      <w:tr>
        <w:trPr>
          <w:trHeight w:val="246"/>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loss, derivatives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adjustments loss (net)</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86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44,065</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50,487</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-981710</wp:posOffset>
            </wp:positionV>
            <wp:extent cx="768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-964565</wp:posOffset>
            </wp:positionV>
            <wp:extent cx="76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-981710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-964565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-981710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-964565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-24765</wp:posOffset>
            </wp:positionV>
            <wp:extent cx="768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-7620</wp:posOffset>
            </wp:positionV>
            <wp:extent cx="768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Interest income and interest expenses relate to financial assets and liabilities measured at amortized cost. Net exchange rate gains and losses primarily relate to U.S. Dollar/Euro fluctuations pertaining to the Company’s cash, cash equivalents, marketable securities and borrowings.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In March 2022, the Company issued an aggregate principal amount of $575.0 million of fixed rate 2.25% convertible notes. The net proceeds from the offering of the convertible notes were $557.9 million (€503.3 million), after deducting the initial purchasers’ discounts and commissions, and transaction costs. The convertible notes rank equally in right of payment with all future senior unsecured indebtedness. Unless earlier converted or redeemed, the convertible notes will mature on April 1, 2028.</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convertible notes accrue interest at a rate of 2.25% per annum, payable semi-annually in arrears on April 1 and October 1 of each year, beginning on October 1, 2022.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each of (i)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Funding Liabilities</w:t>
      </w:r>
    </w:p>
    <w:p>
      <w:pPr>
        <w:spacing w:after="0" w:line="118" w:lineRule="exact"/>
        <w:rPr>
          <w:sz w:val="20"/>
          <w:szCs w:val="20"/>
          <w:color w:val="auto"/>
        </w:rPr>
      </w:pPr>
    </w:p>
    <w:p>
      <w:pPr>
        <w:ind w:right="500"/>
        <w:spacing w:after="0" w:line="311" w:lineRule="auto"/>
        <w:rPr>
          <w:sz w:val="20"/>
          <w:szCs w:val="20"/>
          <w:color w:val="auto"/>
        </w:rPr>
      </w:pPr>
      <w:r>
        <w:rPr>
          <w:rFonts w:ascii="Times New Roman" w:cs="Times New Roman" w:eastAsia="Times New Roman" w:hAnsi="Times New Roman"/>
          <w:sz w:val="17"/>
          <w:szCs w:val="17"/>
          <w:color w:val="auto"/>
        </w:rPr>
        <w:t>In September 2023, the Company entered into a $150.0 million capped synthetic royalty funding agreement (the “Royalty Pharma Agreement”) with Royalty Pharma Development, LLC (“Royalty Pharma”). The net proceeds were $146.3 million (€136.3 million) after deducting offering expenses.</w:t>
      </w:r>
    </w:p>
    <w:p>
      <w:pPr>
        <w:spacing w:after="0" w:line="13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Under the terms of the Royalty Pharma Agreement, the Company received an upfront payment of $150.0 million (the “Purchase Price”), in exchange for which Royalty Pharma obtained the right to receive payment of 9.15% of U.S. net sales of SKYTROFA, beginning on January 1, 2025 (the “Revenue Interest Payments”). The Revenue Interest Payments to Royalty Pharma will cease upon reaching a multiple of 1.925 times the Purchase Price, or 1.65 times the Purchase Price if Royalty Pharma receives Revenue Interest Payments in that amount by December 31, 2031.</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Royalty Pharma Agreement includes a buy-out option, which provides the Company with the right to settle all outstanding liabilities at any time by paying a buy-out amount equal to 1.925 times the Purchase Price minus the Revenue Interest Payments paid to Royalty Pharma as of the effective date of the buy-out notice. However, if the buy-out notice is provided on or prior to December 31, 2028, and the Company has paid the Purchaser Revenue Interest Payments equal to the Purchase Price as of the date of the buy-out notice, then the buy-out amount equal to 1.65 times the Purchase Price minus the Revenue Interest Payments paid to Royalty Pharma as of the effective date of the buy-out notice. Pursuant to the Royalty Pharma Agreement, we have granted to Royalty Pharma back-up security interest in certain assets to secure our obligations under the Royalty Pharma Agreement.</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December 31, 2023, the carrying amount of the royalty funding liabilities was €138.4 million, and the fair value was approximately €144.0 million. Fair value cannot be measured based on quoted prices in active markets or other observable input, and accordingly the fair value was measured by using an estimated market rate for an equivalent instrument.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Company primarily leases office and laboratory facilities. Lease arrangements contain a range of different terms and conditions and are typically entered into for fixed periods. In order to improve flexibility to the Company’s operations, lease arrangements may provide the Company with option to extend the lease or terminate the lease within the enforceable lease term. In the Company’s current lease portfolio, extension and termination options range between six months to five years, in addition to the non-cancellable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expenses relating to lease activities are recognized in the consolidated statements of profit or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60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8"/>
        </w:trPr>
        <w:tc>
          <w:tcPr>
            <w:tcW w:w="66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42"/>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expenses</w:t>
            </w: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10,963</w:t>
            </w:r>
          </w:p>
        </w:tc>
      </w:tr>
      <w:tr>
        <w:trPr>
          <w:trHeight w:val="24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leases and leases of low value assets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interest</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78"/>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expenses</w:t>
            </w:r>
          </w:p>
        </w:tc>
        <w:tc>
          <w:tcPr>
            <w:tcW w:w="90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15,809</w:t>
            </w:r>
          </w:p>
        </w:tc>
        <w:tc>
          <w:tcPr>
            <w:tcW w:w="1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15,862</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-24765</wp:posOffset>
            </wp:positionV>
            <wp:extent cx="1022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-7620</wp:posOffset>
            </wp:positionV>
            <wp:extent cx="1022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-24765</wp:posOffset>
            </wp:positionV>
            <wp:extent cx="939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-7620</wp:posOffset>
            </wp:positionV>
            <wp:extent cx="939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February 2022, the Company entered into a facility lease in Germany with an enforceable lease term of 15 years, which is expected to commence in 2025 and comprise total lease cash-outflows of €68.1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borrowings related to financing activities is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Non-cash items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Separation of</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Repay-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Accretion of</w:t>
            </w:r>
          </w:p>
        </w:tc>
        <w:tc>
          <w:tcPr>
            <w:tcW w:w="12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88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embedded</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adjustments and</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9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ments</w:t>
            </w: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remeasurements</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3"/>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136,256</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545,472</w:t>
            </w:r>
          </w:p>
        </w:tc>
        <w:tc>
          <w:tcPr>
            <w:tcW w:w="0" w:type="dxa"/>
            <w:vAlign w:val="bottom"/>
          </w:tcPr>
          <w:p>
            <w:pPr>
              <w:spacing w:after="0"/>
              <w:rPr>
                <w:sz w:val="1"/>
                <w:szCs w:val="1"/>
                <w:color w:val="auto"/>
              </w:rPr>
            </w:pPr>
          </w:p>
        </w:tc>
      </w:tr>
      <w:tr>
        <w:trPr>
          <w:trHeight w:val="23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0" w:type="dxa"/>
            <w:vAlign w:val="bottom"/>
          </w:tcPr>
          <w:p>
            <w:pPr>
              <w:spacing w:after="0"/>
              <w:rPr>
                <w:sz w:val="1"/>
                <w:szCs w:val="1"/>
                <w:color w:val="auto"/>
              </w:rPr>
            </w:pPr>
          </w:p>
        </w:tc>
      </w:tr>
      <w:tr>
        <w:trPr>
          <w:trHeight w:val="27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financing activities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508,377</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(26,060)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136,256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c>
          <w:tcPr>
            <w:tcW w:w="10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43,967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(21,248)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644,265</w:t>
            </w:r>
          </w:p>
        </w:tc>
        <w:tc>
          <w:tcPr>
            <w:tcW w:w="0" w:type="dxa"/>
            <w:vAlign w:val="bottom"/>
          </w:tcPr>
          <w:p>
            <w:pPr>
              <w:spacing w:after="0"/>
              <w:rPr>
                <w:sz w:val="1"/>
                <w:szCs w:val="1"/>
                <w:color w:val="auto"/>
              </w:rPr>
            </w:pPr>
          </w:p>
        </w:tc>
      </w:tr>
      <w:tr>
        <w:trPr>
          <w:trHeight w:val="252"/>
        </w:trPr>
        <w:tc>
          <w:tcPr>
            <w:tcW w:w="2360" w:type="dxa"/>
            <w:vAlign w:val="bottom"/>
            <w:tcBorders>
              <w:top w:val="single" w:sz="8" w:color="CFF0FC"/>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503,281</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0" w:type="dxa"/>
            <w:vAlign w:val="bottom"/>
          </w:tcPr>
          <w:p>
            <w:pPr>
              <w:spacing w:after="0"/>
              <w:rPr>
                <w:sz w:val="1"/>
                <w:szCs w:val="1"/>
                <w:color w:val="auto"/>
              </w:rPr>
            </w:pPr>
          </w:p>
        </w:tc>
      </w:tr>
      <w:tr>
        <w:trPr>
          <w:trHeight w:val="23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104,961</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0" w:type="dxa"/>
            <w:vAlign w:val="bottom"/>
          </w:tcPr>
          <w:p>
            <w:pPr>
              <w:spacing w:after="0"/>
              <w:rPr>
                <w:sz w:val="1"/>
                <w:szCs w:val="1"/>
                <w:color w:val="auto"/>
              </w:rPr>
            </w:pPr>
          </w:p>
        </w:tc>
      </w:tr>
      <w:tr>
        <w:trPr>
          <w:trHeight w:val="278"/>
        </w:trPr>
        <w:tc>
          <w:tcPr>
            <w:tcW w:w="2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financing activities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104,961</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(14,705)</w:t>
            </w:r>
          </w:p>
        </w:tc>
        <w:tc>
          <w:tcPr>
            <w:tcW w:w="1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503,281</w:t>
            </w: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3,194</w:t>
            </w:r>
          </w:p>
        </w:tc>
        <w:tc>
          <w:tcPr>
            <w:tcW w:w="1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(142,467)</w:t>
            </w: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34,058</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20,055</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508,377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-1033145</wp:posOffset>
            </wp:positionV>
            <wp:extent cx="768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-1016000</wp:posOffset>
            </wp:positionV>
            <wp:extent cx="768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-1033145</wp:posOffset>
            </wp:positionV>
            <wp:extent cx="7683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-1016000</wp:posOffset>
            </wp:positionV>
            <wp:extent cx="7683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-1033145</wp:posOffset>
            </wp:positionV>
            <wp:extent cx="768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-1016000</wp:posOffset>
            </wp:positionV>
            <wp:extent cx="768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-1033145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-1016000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-1033145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-1016000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-1033145</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-1016000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-1033145</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-1016000</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-24765</wp:posOffset>
            </wp:positionV>
            <wp:extent cx="768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-7620</wp:posOffset>
            </wp:positionV>
            <wp:extent cx="768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-24765</wp:posOffset>
            </wp:positionV>
            <wp:extent cx="7683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-7620</wp:posOffset>
            </wp:positionV>
            <wp:extent cx="7683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-24765</wp:posOffset>
            </wp:positionV>
            <wp:extent cx="7683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-7620</wp:posOffset>
            </wp:positionV>
            <wp:extent cx="7683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-24765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-7620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-24765</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-7620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-24765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-7620</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-24765</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-7620</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8"/>
          <w:szCs w:val="18"/>
          <w:color w:val="auto"/>
        </w:rPr>
        <w:t>For December 31, 2022, “separation of embedded derivative” relates to derivative liabilities that are separated from convertible notes and presented separately in the consolidated statement of financial position, please refer to the following section, “Derivative Liabilities”.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 Fair value of derivative liabilities cannot be measured based on quoted prices in active markets, or other observable input, and accordingly, derivative liabilities are measured by using the Black-Scholes Option Pricing model (Level 3 in the fair value hierarchy). The fair value of the options is calculated, applying the following assumptions: (1) conversion price; (2) own share price; (3) maturity of the options; (4) a risk-free interest rate equaling the effective interest rate on a U.S. government bond with the same lifetime as the maturity of the options; (5) no payment of dividends; and (6) an expected volatility using the Company’s own share price (50.47% and 49.24% as of December 31, 2023 and December 31, 2022,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On December 31, 2023, all other inputs and assumptions held constant, a 10% relative increase in volatility, will increase the fair value of derivative liabilities by approximately €14.8 million and indicates a decrease in profit or loss and equity before tax. Similarly, a 10% relative decrease in volatility indicates the opposite impact.</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Similarly, on December 31, 2023, all other inputs and assumptions held constant, a 10% increase in the share price, will increase the fair value of derivative liabilities by approximately €26.7 million and indicates a decrease in profit or loss and equity before tax. Similarly, a 10% decrease in the share price indicates the opposite impact.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liabilities are measured at fair value. All other financial assets and liabilities are measured at amortized cost.</w:t>
      </w:r>
    </w:p>
    <w:p>
      <w:pPr>
        <w:spacing w:after="0" w:line="223"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Because of the short-term maturity for cash and cash equivalents, receivables and trade payables, their fair value approximate carrying amount. Fair value of marketable securities, convertible notes, royalty funding liabilities and derivatives, and their level in the fair value hierarchy is summarized in following table, where</w:t>
      </w:r>
    </w:p>
    <w:p>
      <w:pPr>
        <w:spacing w:after="0" w:line="64" w:lineRule="exact"/>
        <w:rPr>
          <w:sz w:val="20"/>
          <w:szCs w:val="20"/>
          <w:color w:val="auto"/>
        </w:rPr>
      </w:pPr>
    </w:p>
    <w:p>
      <w:pPr>
        <w:ind w:right="460"/>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quoted prices (unadjusted) in active markets for identical assets or liabilities that the entity can access at the measurement date;</w:t>
      </w:r>
      <w:r>
        <w:rPr>
          <w:rFonts w:ascii="Times New Roman" w:cs="Times New Roman" w:eastAsia="Times New Roman" w:hAnsi="Times New Roman"/>
          <w:sz w:val="18"/>
          <w:szCs w:val="18"/>
          <w:b w:val="1"/>
          <w:bCs w:val="1"/>
          <w:color w:val="auto"/>
        </w:rPr>
        <w:t xml:space="preserve"> Level 2 </w:t>
      </w:r>
      <w:r>
        <w:rPr>
          <w:rFonts w:ascii="Times New Roman" w:cs="Times New Roman" w:eastAsia="Times New Roman" w:hAnsi="Times New Roman"/>
          <w:sz w:val="18"/>
          <w:szCs w:val="18"/>
          <w:color w:val="auto"/>
        </w:rPr>
        <w:t>inputs are inputs other than quoted prices included within Level 1 that are observable for the asset or liability, either directly or indirectly; and</w:t>
      </w:r>
      <w:r>
        <w:rPr>
          <w:rFonts w:ascii="Times New Roman" w:cs="Times New Roman" w:eastAsia="Times New Roman" w:hAnsi="Times New Roman"/>
          <w:sz w:val="18"/>
          <w:szCs w:val="18"/>
          <w:b w:val="1"/>
          <w:bCs w:val="1"/>
          <w:color w:val="auto"/>
        </w:rPr>
        <w:t xml:space="preserve"> Level 3 </w:t>
      </w:r>
      <w:r>
        <w:rPr>
          <w:rFonts w:ascii="Times New Roman" w:cs="Times New Roman" w:eastAsia="Times New Roman" w:hAnsi="Times New Roman"/>
          <w:sz w:val="18"/>
          <w:szCs w:val="18"/>
          <w:color w:val="auto"/>
        </w:rPr>
        <w:t>inputs are unobservable inputs for the asset or liability.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6"/>
                <w:szCs w:val="16"/>
                <w:color w:val="auto"/>
              </w:rPr>
            </w:pPr>
          </w:p>
        </w:tc>
        <w:tc>
          <w:tcPr>
            <w:tcW w:w="15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8"/>
        </w:trPr>
        <w:tc>
          <w:tcPr>
            <w:tcW w:w="51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level</w:t>
            </w:r>
          </w:p>
        </w:tc>
      </w:tr>
      <w:tr>
        <w:trPr>
          <w:trHeight w:val="168"/>
        </w:trPr>
        <w:tc>
          <w:tcPr>
            <w:tcW w:w="5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(1-3)</w:t>
            </w:r>
          </w:p>
        </w:tc>
      </w:tr>
      <w:tr>
        <w:trPr>
          <w:trHeight w:val="242"/>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4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295,843</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r>
      <w:tr>
        <w:trPr>
          <w:trHeight w:val="23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6"/>
        </w:trPr>
        <w:tc>
          <w:tcPr>
            <w:tcW w:w="5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120" w:type="dxa"/>
            <w:vAlign w:val="bottom"/>
            <w:tcBorders>
              <w:top w:val="single" w:sz="8" w:color="CFF0FC"/>
            </w:tcBorders>
          </w:tcPr>
          <w:p>
            <w:pPr>
              <w:spacing w:after="0"/>
              <w:rPr>
                <w:sz w:val="20"/>
                <w:szCs w:val="20"/>
                <w:color w:val="auto"/>
              </w:rPr>
            </w:pPr>
          </w:p>
        </w:tc>
      </w:tr>
      <w:tr>
        <w:trPr>
          <w:trHeight w:val="24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407,095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382,459</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r>
      <w:tr>
        <w:trPr>
          <w:trHeight w:val="246"/>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funding</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138,377</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143,975</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r>
      <w:tr>
        <w:trPr>
          <w:trHeight w:val="23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545,472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529,385</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399,186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382,459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r>
      <w:tr>
        <w:trPr>
          <w:trHeight w:val="23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-1118235</wp:posOffset>
            </wp:positionV>
            <wp:extent cx="7683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-1118235</wp:posOffset>
            </wp:positionV>
            <wp:extent cx="768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-1118235</wp:posOffset>
            </wp:positionV>
            <wp:extent cx="768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-1118235</wp:posOffset>
            </wp:positionV>
            <wp:extent cx="7683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-494665</wp:posOffset>
            </wp:positionV>
            <wp:extent cx="768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-494665</wp:posOffset>
            </wp:positionV>
            <wp:extent cx="7683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-494665</wp:posOffset>
            </wp:positionV>
            <wp:extent cx="768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-494665</wp:posOffset>
            </wp:positionV>
            <wp:extent cx="768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-170180</wp:posOffset>
            </wp:positionV>
            <wp:extent cx="768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-170180</wp:posOffset>
            </wp:positionV>
            <wp:extent cx="7683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-170180</wp:posOffset>
            </wp:positionV>
            <wp:extent cx="7683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-170180</wp:posOffset>
            </wp:positionV>
            <wp:extent cx="7683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level 3 fair value remeasurements is specified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20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8"/>
        </w:trPr>
        <w:tc>
          <w:tcPr>
            <w:tcW w:w="4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42"/>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7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w:t>
            </w:r>
          </w:p>
        </w:tc>
      </w:tr>
      <w:tr>
        <w:trPr>
          <w:trHeight w:val="24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7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142,467</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recognized in financial income or expense</w:t>
            </w:r>
          </w:p>
        </w:tc>
        <w:tc>
          <w:tcPr>
            <w:tcW w:w="17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60" w:type="dxa"/>
            <w:vAlign w:val="bottom"/>
          </w:tcPr>
          <w:p>
            <w:pPr>
              <w:spacing w:after="0"/>
              <w:rPr>
                <w:sz w:val="20"/>
                <w:szCs w:val="20"/>
                <w:color w:val="auto"/>
              </w:rPr>
            </w:pPr>
          </w:p>
        </w:tc>
        <w:tc>
          <w:tcPr>
            <w:tcW w:w="14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w:t>
            </w:r>
          </w:p>
        </w:tc>
      </w:tr>
      <w:tr>
        <w:trPr>
          <w:trHeight w:val="278"/>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844"/>
        </w:trPr>
        <w:tc>
          <w:tcPr>
            <w:tcW w:w="4860" w:type="dxa"/>
            <w:vAlign w:val="bottom"/>
          </w:tcPr>
          <w:p>
            <w:pPr>
              <w:spacing w:after="0"/>
              <w:rPr>
                <w:sz w:val="24"/>
                <w:szCs w:val="24"/>
                <w:color w:val="auto"/>
              </w:rPr>
            </w:pPr>
          </w:p>
        </w:tc>
        <w:tc>
          <w:tcPr>
            <w:tcW w:w="3200" w:type="dxa"/>
            <w:vAlign w:val="bottom"/>
            <w:gridSpan w:val="2"/>
          </w:tcPr>
          <w:p>
            <w:pPr>
              <w:jc w:val="right"/>
              <w:ind w:right="2170"/>
              <w:spacing w:after="0"/>
              <w:rPr>
                <w:sz w:val="20"/>
                <w:szCs w:val="20"/>
                <w:color w:val="auto"/>
              </w:rPr>
            </w:pPr>
            <w:r>
              <w:rPr>
                <w:rFonts w:ascii="Times New Roman" w:cs="Times New Roman" w:eastAsia="Times New Roman" w:hAnsi="Times New Roman"/>
                <w:sz w:val="18"/>
                <w:szCs w:val="18"/>
                <w:color w:val="auto"/>
              </w:rPr>
              <w:t>F-41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52"/>
        </w:trPr>
        <w:tc>
          <w:tcPr>
            <w:tcW w:w="48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-998855</wp:posOffset>
            </wp:positionV>
            <wp:extent cx="1022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-981710</wp:posOffset>
            </wp:positionV>
            <wp:extent cx="10223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-998855</wp:posOffset>
            </wp:positionV>
            <wp:extent cx="939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-981710</wp:posOffset>
            </wp:positionV>
            <wp:extent cx="939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Note 17 – Financial Risk Management</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The Company manages capital to ensure that all group enterprises will be able to continue as a going concern while maximizing the return to shareholders through the optimization of debt and equity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w:t>
      </w:r>
    </w:p>
    <w:p>
      <w:pPr>
        <w:spacing w:after="0" w:line="12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Company’s capital structure consists of equity and external debt obtained through issuance of convertible notes and royalty funding liabilities. The Company is not subject to any contractually imposed capital requirements or financial covenants. The capital structure is reviewed on an ongoing basis for the adequacy of the Company’s capital compared to the resources required for carrying out ordinary activities</w:t>
      </w:r>
      <w:r>
        <w:rPr>
          <w:rFonts w:ascii="Times New Roman" w:cs="Times New Roman" w:eastAsia="Times New Roman" w:hAnsi="Times New Roman"/>
          <w:sz w:val="18"/>
          <w:szCs w:val="18"/>
          <w:color w:val="404040"/>
        </w:rPr>
        <w:t>.</w:t>
      </w:r>
    </w:p>
    <w:p>
      <w:pPr>
        <w:spacing w:after="0" w:line="175"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Development in the Company’s share capital and treasury shares reserves are described in the following sections. Other equity reserves are described in Note 2,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capital of Ascendis Pharma A/S consists of 57,707,439 fully paid shares at a nominal value of DKK 1, all in the same share class.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outstanding shares of the Company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80" w:type="dxa"/>
            <w:vAlign w:val="bottom"/>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share capital</w:t>
            </w: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57,152,295</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56,937,682</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53,750,386</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47,985,837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42,135,448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through cash contributions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555,144</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214,613</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3,187,296</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5,764,549</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5,850,389</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57,707,439</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57,152,295</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56,937,682</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53,750,386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47,985,837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Treasury Shares Reserve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40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holding of treasury shares are as follows: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Holding in</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 2022</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from third parties</w:t>
            </w: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under stock incentive programs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(41,685 )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1,113,152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Transferred under stock incentive programs</w:t>
            </w: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(20,098 )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1,093,054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-2459355</wp:posOffset>
            </wp:positionV>
            <wp:extent cx="7683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-2459355</wp:posOffset>
            </wp:positionV>
            <wp:extent cx="7683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-2459355</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-2459355</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-2459355</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955" cy="1879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955" cy="187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132955" cy="1879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955" cy="18796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 Objectives</w:t>
      </w:r>
    </w:p>
    <w:p>
      <w:pPr>
        <w:spacing w:after="0" w:line="120"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The Company regularly monitors the access to domestic and international financial markets, manages the financial risks relating to its operations, and analyzes exposures to risk, including market risk, such as foreign currency risk and interest rate risk, credit risk and liquidity risk.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risk exposure and risk management policies are described in the following sections.</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320" w:top="897" w:right="2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The Company’s activities expose the group enterprises to the financial risks of changes in foreign currency exchange rates and interest rates. Derivative financial instruments are not applied to manage exposure to such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exposed to foreign currency exchange risks arising from various currency exposures, primarily with respect to the U.S. Dollar (“USD”).</w:t>
      </w:r>
    </w:p>
    <w:p>
      <w:pPr>
        <w:spacing w:after="0" w:line="2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Foreign currency exchange risks are unchanged to prior year, and primarily relate to sale and purchases in foreign currencies, and cash, cash equivalents and marketable securities, countered by convertible notes and royalty funding liabilities. The exposure from foreign currency exchange risks is managed by maintaining cash positions in the currencies in which the majority of future expenses are denominated, and payments are made from those reserves.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Sensitivity Analysis</w:t>
      </w:r>
    </w:p>
    <w:p>
      <w:pPr>
        <w:spacing w:after="0" w:line="1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following table details how a strengthening of the USD against the EUR would impact profit and loss, and equity before tax at the reporting date. A similar weakening of the USD would have the opposite effect with similar amounts. A positive number indicates an increase in profit or loss and equity before tax, while a negative number indicates the opposite. The sensitivity analysis is deemed representative of the inherent foreign currency exchange risk associated with the operations.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Hypothetical impact on consolidated</w:t>
            </w:r>
          </w:p>
        </w:tc>
        <w:tc>
          <w:tcPr>
            <w:tcW w:w="0" w:type="dxa"/>
            <w:vAlign w:val="bottom"/>
          </w:tcPr>
          <w:p>
            <w:pPr>
              <w:spacing w:after="0"/>
              <w:rPr>
                <w:sz w:val="1"/>
                <w:szCs w:val="1"/>
                <w:color w:val="auto"/>
              </w:rPr>
            </w:pPr>
          </w:p>
        </w:tc>
      </w:tr>
      <w:tr>
        <w:trPr>
          <w:trHeight w:val="186"/>
        </w:trPr>
        <w:tc>
          <w:tcPr>
            <w:tcW w:w="5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foreign</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Profit/(loss)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4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positions</w:t>
            </w:r>
          </w:p>
        </w:tc>
        <w:tc>
          <w:tcPr>
            <w:tcW w:w="134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Equity before tax</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7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2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(EUR ‘000)</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USD/EUR</w:t>
            </w: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(369,091 )</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(36,909 )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(36,909 )</w:t>
            </w:r>
          </w:p>
        </w:tc>
        <w:tc>
          <w:tcPr>
            <w:tcW w:w="0" w:type="dxa"/>
            <w:vAlign w:val="bottom"/>
          </w:tcPr>
          <w:p>
            <w:pPr>
              <w:spacing w:after="0"/>
              <w:rPr>
                <w:sz w:val="1"/>
                <w:szCs w:val="1"/>
                <w:color w:val="auto"/>
              </w:rPr>
            </w:pPr>
          </w:p>
        </w:tc>
      </w:tr>
      <w:tr>
        <w:trPr>
          <w:trHeight w:val="24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60,581</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12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Outstanding convertible notes comprise a 2.25% coupon fixed rate structure. Further, interest rate on lease liabilities is fixed at the lease commencement date. In addition, the effective interest rate on royalty funding liabilities is estimated at initial recognition and takes into account anticipated amount and timing of future cash flows, which further depends on future commercial revenue forecasts and the probability of exercising the embedded buy-out option. Material changes to anticipated future cash flows could potentially increase or decrease future interest expense.</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Future indebtedness may be subject to higher interest rates. In addition, future interest income from interest-bearing bank deposits and marketable securities may fall short of expectations due to changes in interest rates.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structure of marketable securities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80" w:type="dxa"/>
            <w:vAlign w:val="bottom"/>
            <w:gridSpan w:val="3"/>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300" w:type="dxa"/>
            <w:vAlign w:val="bottom"/>
            <w:gridSpan w:val="3"/>
          </w:tcPr>
          <w:p>
            <w:pPr>
              <w:jc w:val="right"/>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rate structure</w:t>
            </w:r>
          </w:p>
        </w:tc>
        <w:tc>
          <w:tcPr>
            <w:tcW w:w="1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Floating rate</w:t>
            </w:r>
          </w:p>
        </w:tc>
        <w:tc>
          <w:tcPr>
            <w:tcW w:w="116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Zero-coupon</w:t>
            </w:r>
          </w:p>
        </w:tc>
        <w:tc>
          <w:tcPr>
            <w:tcW w:w="11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4600" w:type="dxa"/>
            <w:vAlign w:val="bottom"/>
          </w:tcPr>
          <w:p>
            <w:pPr>
              <w:spacing w:after="0"/>
              <w:rPr>
                <w:sz w:val="24"/>
                <w:szCs w:val="24"/>
                <w:color w:val="auto"/>
              </w:rPr>
            </w:pPr>
          </w:p>
        </w:tc>
        <w:tc>
          <w:tcPr>
            <w:tcW w:w="2740" w:type="dxa"/>
            <w:vAlign w:val="bottom"/>
            <w:gridSpan w:val="4"/>
          </w:tcPr>
          <w:p>
            <w:pPr>
              <w:jc w:val="right"/>
              <w:ind w:right="1540"/>
              <w:spacing w:after="0"/>
              <w:rPr>
                <w:sz w:val="20"/>
                <w:szCs w:val="20"/>
                <w:color w:val="auto"/>
              </w:rPr>
            </w:pPr>
            <w:r>
              <w:rPr>
                <w:rFonts w:ascii="Times New Roman" w:cs="Times New Roman" w:eastAsia="Times New Roman" w:hAnsi="Times New Roman"/>
                <w:sz w:val="18"/>
                <w:szCs w:val="18"/>
                <w:color w:val="auto"/>
              </w:rPr>
              <w:t>F-43</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4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-793750</wp:posOffset>
            </wp:positionV>
            <wp:extent cx="7683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-776605</wp:posOffset>
            </wp:positionV>
            <wp:extent cx="7683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-793750</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-776605</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-793750</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-776605</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-793750</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-776605</wp:posOffset>
            </wp:positionV>
            <wp:extent cx="68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33" w:name="page234"/>
    <w:bookmarkEnd w:id="233"/>
    <w:p>
      <w:pPr>
        <w:spacing w:after="0" w:line="265" w:lineRule="auto"/>
        <w:rPr>
          <w:sz w:val="20"/>
          <w:szCs w:val="20"/>
          <w:color w:val="auto"/>
        </w:rPr>
      </w:pPr>
      <w:r>
        <w:rPr>
          <w:rFonts w:ascii="Times New Roman" w:cs="Times New Roman" w:eastAsia="Times New Roman" w:hAnsi="Times New Roman"/>
          <w:sz w:val="18"/>
          <w:szCs w:val="18"/>
          <w:color w:val="auto"/>
        </w:rPr>
        <w:t>Derivative liabilities are measured at fair value through profit or loss. Accordingly, since the fair value is exposed from the development in interest rates, the profit or loss is exposed to volatility from such development. The effects of interest rate fluctuations are not considered a material risk to the Company’s financial position. Accordingly, no interest sensitivity analysis has been presented.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120"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The Company has adopted an investment policy with the primary purpose of preserving capital, fulfilling liquidity needs and diversifying the risks associated with cash, cash equivalents and marketable securities. This investment policy establishes minimum ratings for institutions with which the Company holds cash and cash equivalents, as well as rating and concentration limits for marketable securities held.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exposure to credit risk primarily relates to cash, cash equivalents, and marketable securities. The credit risk on bank deposits is limited because the counterparties, holding significant deposits, are banks with minimum credit-ratings of A3/A-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government bonds, treasury bills, corporate bonds, and agency bonds. The Company’s investment policy, approved by the Board of Directors, only allows investment in marketable securities having investment grade credit-ratings, assigned by international credit-rating agencies. Accordingly, the risk from probability of default is low. On each reporting date, the risk of expected credit loss on bank deposits and marketable securities, including the hypothetical impact arising from the probability of default,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specified by investment grade credit rating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760" w:type="dxa"/>
            <w:vAlign w:val="bottom"/>
          </w:tcPr>
          <w:p>
            <w:pPr>
              <w:spacing w:after="0"/>
              <w:rPr>
                <w:sz w:val="11"/>
                <w:szCs w:val="11"/>
                <w:color w:val="auto"/>
              </w:rPr>
            </w:pPr>
          </w:p>
        </w:tc>
        <w:tc>
          <w:tcPr>
            <w:tcW w:w="1580" w:type="dxa"/>
            <w:vAlign w:val="bottom"/>
            <w:gridSpan w:val="3"/>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300" w:type="dxa"/>
            <w:vAlign w:val="bottom"/>
            <w:gridSpan w:val="3"/>
          </w:tcPr>
          <w:p>
            <w:pPr>
              <w:jc w:val="right"/>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760" w:type="dxa"/>
            <w:vAlign w:val="bottom"/>
          </w:tcPr>
          <w:p>
            <w:pPr>
              <w:spacing w:after="0"/>
              <w:rPr>
                <w:sz w:val="16"/>
                <w:szCs w:val="16"/>
                <w:color w:val="auto"/>
              </w:rPr>
            </w:pPr>
          </w:p>
        </w:tc>
        <w:tc>
          <w:tcPr>
            <w:tcW w:w="11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investment grade credit rating</w:t>
            </w: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grade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Upper medium grade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94,650</w:t>
            </w:r>
          </w:p>
        </w:tc>
        <w:tc>
          <w:tcPr>
            <w:tcW w:w="2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At the reporting dates, there are no significant overdue trade receivable balances. As a result, write-down to accommodate expected credit-losses is not deemed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Management</w:t>
      </w:r>
    </w:p>
    <w:p>
      <w:pPr>
        <w:spacing w:after="0" w:line="120"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Historically, the risk of insufficient funds has been addressed through proceeds from sale of the Company’s securities in private and public offerings, through issuance of convertible notes in 2022, and through royalty funding liabilities in 2023.</w:t>
      </w:r>
    </w:p>
    <w:p>
      <w:pPr>
        <w:spacing w:after="0" w:line="16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Liquidity risk is managed by maintaining adequate cash reserves and banking facilities, and by matching the maturity profiles of marketable securities with cash-forecasts. The risk of shortage of funds is monitored, using a liquidity planning tool, to ensure sufficient funds are available to settle liabilities as they fall due.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34" w:name="page235"/>
    <w:bookmarkEnd w:id="234"/>
    <w:p>
      <w:pPr>
        <w:ind w:right="140"/>
        <w:spacing w:after="0" w:line="280" w:lineRule="auto"/>
        <w:rPr>
          <w:sz w:val="20"/>
          <w:szCs w:val="20"/>
          <w:color w:val="auto"/>
        </w:rPr>
      </w:pPr>
      <w:r>
        <w:rPr>
          <w:rFonts w:ascii="Times New Roman" w:cs="Times New Roman" w:eastAsia="Times New Roman" w:hAnsi="Times New Roman"/>
          <w:sz w:val="18"/>
          <w:szCs w:val="18"/>
          <w:color w:val="auto"/>
        </w:rPr>
        <w:t>Besides marketable securities and deposits, the Company’s financial assets are recoverable within twelve months after the reporting date. The composition of the marketable securities portfolio and its maturity profiles are specified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760" w:type="dxa"/>
            <w:vAlign w:val="bottom"/>
          </w:tcPr>
          <w:p>
            <w:pPr>
              <w:spacing w:after="0"/>
              <w:rPr>
                <w:sz w:val="11"/>
                <w:szCs w:val="11"/>
                <w:color w:val="auto"/>
              </w:rPr>
            </w:pPr>
          </w:p>
        </w:tc>
        <w:tc>
          <w:tcPr>
            <w:tcW w:w="1580" w:type="dxa"/>
            <w:vAlign w:val="bottom"/>
            <w:gridSpan w:val="3"/>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300" w:type="dxa"/>
            <w:vAlign w:val="bottom"/>
            <w:gridSpan w:val="3"/>
          </w:tcPr>
          <w:p>
            <w:pPr>
              <w:jc w:val="right"/>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760" w:type="dxa"/>
            <w:vAlign w:val="bottom"/>
          </w:tcPr>
          <w:p>
            <w:pPr>
              <w:spacing w:after="0"/>
              <w:rPr>
                <w:sz w:val="16"/>
                <w:szCs w:val="16"/>
                <w:color w:val="auto"/>
              </w:rPr>
            </w:pPr>
          </w:p>
        </w:tc>
        <w:tc>
          <w:tcPr>
            <w:tcW w:w="11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security type</w:t>
            </w: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99,337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5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based on maturity profiles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290,688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-836295</wp:posOffset>
            </wp:positionV>
            <wp:extent cx="768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-836295</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-836295</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-836295</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-187325</wp:posOffset>
            </wp:positionV>
            <wp:extent cx="7683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-187325</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-187325</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marketable securities have a weighted average duration of 1.0 month after the reporting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cash flows for non-derivative financial liabilities recognized in the consolidated statements of financial position are specified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40" w:type="dxa"/>
            <w:vAlign w:val="bottom"/>
          </w:tcPr>
          <w:p>
            <w:pPr>
              <w:spacing w:after="0"/>
              <w:rPr>
                <w:sz w:val="12"/>
                <w:szCs w:val="12"/>
                <w:color w:val="auto"/>
              </w:rPr>
            </w:pPr>
          </w:p>
        </w:tc>
        <w:tc>
          <w:tcPr>
            <w:tcW w:w="10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220" w:type="dxa"/>
            <w:vAlign w:val="bottom"/>
          </w:tcPr>
          <w:p>
            <w:pPr>
              <w:spacing w:after="0"/>
              <w:rPr>
                <w:sz w:val="12"/>
                <w:szCs w:val="12"/>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&gt;5 years</w:t>
            </w:r>
          </w:p>
        </w:tc>
        <w:tc>
          <w:tcPr>
            <w:tcW w:w="22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cash-flows</w:t>
            </w:r>
          </w:p>
        </w:tc>
        <w:tc>
          <w:tcPr>
            <w:tcW w:w="2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797,030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114,867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794,351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91,453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1,006,463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738,831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545,161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605,810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128,763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127,158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102,340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606,107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835,605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609,409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1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F-45</w:t>
            </w:r>
          </w:p>
        </w:tc>
        <w:tc>
          <w:tcPr>
            <w:tcW w:w="2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5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-2083435</wp:posOffset>
            </wp:positionV>
            <wp:extent cx="7683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-2083435</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-2083435</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-2083435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-2083435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-793750</wp:posOffset>
            </wp:positionV>
            <wp:extent cx="7683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-776605</wp:posOffset>
            </wp:positionV>
            <wp:extent cx="7683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-793750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-776605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-793750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-776605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-793750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-776605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-793750</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-776605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Contractual commitments for the acquisition of property, plant and equipment were €1.2 million and €4.4 million for the years ended December 31, 2023 and 2022, respectively. Further, with certain suppliers, the Company has agreed minimum commitments related to the manufacturing of product supply, subject to continuous negotiation and adjustments according to the individual contractual terms and conditions. Cost of product supply is recognized when the Company obtains control of the goods. In addition, the Company has commitments related to short-term leases and leases of low value assets, contracts of various lengths in respect of research and development with CROs, and IT and facility related services. Costs relating to those commitments are recognized as services are received.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aware of any significant legal claims or disputes.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19—Related Party Transactions</w:t>
      </w:r>
    </w:p>
    <w:p>
      <w:pPr>
        <w:spacing w:after="0" w:line="12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The Board of Directors, the Executive Board and non-executive Senior Management (“Key Management Personnel”) are considered related parties as they have authority and responsibility for planning and directing the Company’s operations. Related parties also include undertakings in which such individuals have a controlling or joint controlling interest. Additionally, all group enterprises and associates are considered related parties.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Company’s related parties or major shareholders hold a controlling, joint controlling, or significant interest in the Group.</w:t>
      </w:r>
    </w:p>
    <w:p>
      <w:pPr>
        <w:spacing w:after="0" w:line="22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Company has entered into employment agreements with and issued warrants, RSUs and PSUs to Key Management Personnel. In addition, the Company pays fees for board tenure and board committee tenure to the independent members of the Board of Directors. For further details, refer to Note 6, “Employee Costs”. Indemnification agreements have been entered with members of the Board of Directors, the Executive Board and Non-executive Senior Management.</w:t>
      </w:r>
    </w:p>
    <w:p>
      <w:pPr>
        <w:spacing w:after="0" w:line="1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Transactions between the parent company and group enterprises comprise management and license fees, research and development services, and clinical and commercial supplies. These transactions have been eliminated in the consolidated financial statements. Transactions and outstanding balances with the associate are disclosed in Note 12, “Investment in Associate”.</w:t>
      </w:r>
    </w:p>
    <w:p>
      <w:pPr>
        <w:spacing w:after="0" w:line="17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In addition, the parent company Ascendis Pharma A/S is jointly taxed with its Danish subsidiaries, where the current Danish corporation tax is allocated between the jointly taxed Danish companies. For further details, refer to Note 9, “Tax on Profit/(Loss) for the Year and Deferred Tax”.</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Except for the information disclosed above, the Company has not undertaken any significant transactions with members of the Key Management Personnel, or undertakings in which the identified related parties have a controlling or joint controlling interest.</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Note 20—Investments in Group Enterprises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Ascendis Pharma A/S’s (parent company) investments in group enterprises at December 31, 2023, comprise: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7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Domicile</w:t>
            </w:r>
          </w:p>
        </w:tc>
        <w:tc>
          <w:tcPr>
            <w:tcW w:w="120" w:type="dxa"/>
            <w:vAlign w:val="bottom"/>
          </w:tcPr>
          <w:p>
            <w:pPr>
              <w:spacing w:after="0"/>
              <w:rPr>
                <w:sz w:val="16"/>
                <w:szCs w:val="16"/>
                <w:color w:val="auto"/>
              </w:rPr>
            </w:pPr>
          </w:p>
        </w:tc>
        <w:tc>
          <w:tcPr>
            <w:tcW w:w="16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GmbH</w:t>
            </w:r>
          </w:p>
        </w:tc>
        <w:tc>
          <w:tcPr>
            <w:tcW w:w="18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GmbH</w:t>
            </w:r>
          </w:p>
        </w:tc>
        <w:tc>
          <w:tcPr>
            <w:tcW w:w="18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Inc.</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Inc.</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Ophthalmology Division A/S</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Division A/S</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Bone Diseases A/S</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Growth Disorders A/S</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Oncology Division A/S</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Nordics A/S</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Europe A/S</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UK Limited</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Iberia S.L.</w:t>
            </w:r>
          </w:p>
        </w:tc>
        <w:tc>
          <w:tcPr>
            <w:tcW w:w="1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82"/>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18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4"/>
                <w:szCs w:val="14"/>
                <w:b w:val="1"/>
                <w:bCs w:val="1"/>
                <w:color w:val="auto"/>
              </w:rPr>
              <w:t>Domicile</w:t>
            </w:r>
          </w:p>
        </w:tc>
        <w:tc>
          <w:tcPr>
            <w:tcW w:w="12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VISEN Pharmaceuticals</w:t>
            </w:r>
          </w:p>
        </w:tc>
        <w:tc>
          <w:tcPr>
            <w:tcW w:w="18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-2437130</wp:posOffset>
            </wp:positionV>
            <wp:extent cx="7132955" cy="15367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-2129790</wp:posOffset>
            </wp:positionV>
            <wp:extent cx="7132955" cy="15367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-1821815</wp:posOffset>
            </wp:positionV>
            <wp:extent cx="7132955" cy="15367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-1514475</wp:posOffset>
            </wp:positionV>
            <wp:extent cx="7132955" cy="15367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-1207135</wp:posOffset>
            </wp:positionV>
            <wp:extent cx="7132955" cy="15367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955" cy="15367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955" cy="15367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-156210</wp:posOffset>
            </wp:positionV>
            <wp:extent cx="1193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-156210</wp:posOffset>
            </wp:positionV>
            <wp:extent cx="768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-156210</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21—Ownership</w:t>
      </w:r>
    </w:p>
    <w:p>
      <w:pPr>
        <w:spacing w:after="0" w:line="12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The following investors, or groups of affiliated investors, are known by us to beneficially own more than 5% of the Company’s outstanding ordinary shares at December 31, 2023:</w:t>
      </w:r>
    </w:p>
    <w:p>
      <w:pPr>
        <w:spacing w:after="0" w:line="55"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Associates, Inc.,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RA Capital Management, LLC,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Artisan Partners Limited Partnership,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FMR LLC,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Wellington Management Group LLP,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Janus Henderson Group plc, United Kingdom</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Avoro Capital Advisors LLC,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Westfield Capital Management Company, L.P., USA</w:t>
      </w:r>
    </w:p>
    <w:p>
      <w:pPr>
        <w:spacing w:after="0" w:line="22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Company’s American Depository Shares are held through BNY (Nominees) Limited as nominee, of The Bank of New York Mellon, UK (as registered holder of the Company’s outstanding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22—Subsequent Events</w:t>
      </w:r>
    </w:p>
    <w:p>
      <w:pPr>
        <w:spacing w:after="0" w:line="12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January 29, 2024, the Company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w:t>
      </w:r>
    </w:p>
    <w:p>
      <w:pPr>
        <w:spacing w:after="0" w:line="175"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The Company has granted Eyconis exclusive rights to develop and commercialize TransCon ophthalmology products globally and received an equity position in the newly formed company. In addition, the Company will be eligible to receive development, regulatory, and sales milestone payments, plus single digit royalties on global net sales of commercialized products, if any. Eyconis will initially be based in Redwood City, California, and certain employees of the Company are expected to join the newly formed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events have occurred after the reporting date that would influence the evaluation of these consolidated financial statements.</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682" w:right="2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2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 w:type="dxa"/>
            <w:vAlign w:val="bottom"/>
          </w:tcPr>
          <w:p>
            <w:pPr>
              <w:spacing w:after="0"/>
              <w:rPr>
                <w:sz w:val="24"/>
                <w:szCs w:val="24"/>
                <w:color w:val="auto"/>
              </w:rPr>
            </w:pP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24"/>
                <w:szCs w:val="24"/>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Provided</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22"/>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746">
              <w:r>
                <w:rPr>
                  <w:rFonts w:ascii="Times New Roman" w:cs="Times New Roman" w:eastAsia="Times New Roman" w:hAnsi="Times New Roman"/>
                  <w:sz w:val="18"/>
                  <w:szCs w:val="18"/>
                  <w:color w:val="0000FF"/>
                </w:rPr>
                <w:t>Articles of Association, currently in effect (English</w:t>
              </w:r>
            </w:hyperlink>
          </w:p>
        </w:tc>
        <w:tc>
          <w:tcPr>
            <w:tcW w:w="84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1/10/2024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FF"/>
              </w:rPr>
            </w:pPr>
            <w:hyperlink r:id="rId746">
              <w:r>
                <w:rPr>
                  <w:rFonts w:ascii="Times New Roman" w:cs="Times New Roman" w:eastAsia="Times New Roman" w:hAnsi="Times New Roman"/>
                  <w:sz w:val="18"/>
                  <w:szCs w:val="18"/>
                  <w:color w:val="0000FF"/>
                </w:rPr>
                <w:t>translation).</w:t>
              </w:r>
            </w:hyperlink>
          </w:p>
        </w:tc>
        <w:tc>
          <w:tcPr>
            <w:tcW w:w="3640" w:type="dxa"/>
            <w:vAlign w:val="bottom"/>
            <w:gridSpan w:val="24"/>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47">
              <w:r>
                <w:rPr>
                  <w:rFonts w:ascii="Times New Roman" w:cs="Times New Roman" w:eastAsia="Times New Roman" w:hAnsi="Times New Roman"/>
                  <w:sz w:val="18"/>
                  <w:szCs w:val="18"/>
                  <w:color w:val="0000FF"/>
                </w:rPr>
                <w:t>Deposit Agreement dated January 27, 2015 among Ascendis</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2/2/2016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333-209336</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2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rPr>
            </w:pPr>
            <w:hyperlink r:id="rId747">
              <w:r>
                <w:rPr>
                  <w:rFonts w:ascii="Times New Roman" w:cs="Times New Roman" w:eastAsia="Times New Roman" w:hAnsi="Times New Roman"/>
                  <w:sz w:val="18"/>
                  <w:szCs w:val="18"/>
                  <w:color w:val="0000FF"/>
                </w:rPr>
                <w:t>Pharma A/S The Bank of New York Mellon and Owners and</w:t>
              </w:r>
            </w:hyperlink>
          </w:p>
        </w:tc>
        <w:tc>
          <w:tcPr>
            <w:tcW w:w="14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FF"/>
              </w:rPr>
            </w:pPr>
            <w:hyperlink r:id="rId747">
              <w:r>
                <w:rPr>
                  <w:rFonts w:ascii="Times New Roman" w:cs="Times New Roman" w:eastAsia="Times New Roman" w:hAnsi="Times New Roman"/>
                  <w:sz w:val="18"/>
                  <w:szCs w:val="18"/>
                  <w:color w:val="0000FF"/>
                </w:rPr>
                <w:t>Holders of American Depositary Shares.</w:t>
              </w:r>
            </w:hyperlink>
          </w:p>
        </w:tc>
        <w:tc>
          <w:tcPr>
            <w:tcW w:w="1600" w:type="dxa"/>
            <w:vAlign w:val="bottom"/>
            <w:gridSpan w:val="17"/>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747">
              <w:r>
                <w:rPr>
                  <w:rFonts w:ascii="Times New Roman" w:cs="Times New Roman" w:eastAsia="Times New Roman" w:hAnsi="Times New Roman"/>
                  <w:sz w:val="18"/>
                  <w:szCs w:val="18"/>
                  <w:color w:val="0000FF"/>
                </w:rPr>
                <w:t>Form of American Depositary Receipt (included in Exhibit</w:t>
              </w:r>
            </w:hyperlink>
          </w:p>
        </w:tc>
        <w:tc>
          <w:tcPr>
            <w:tcW w:w="2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36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FF"/>
                <w:w w:val="96"/>
              </w:rPr>
            </w:pPr>
            <w:hyperlink r:id="rId747">
              <w:r>
                <w:rPr>
                  <w:rFonts w:ascii="Times New Roman" w:cs="Times New Roman" w:eastAsia="Times New Roman" w:hAnsi="Times New Roman"/>
                  <w:sz w:val="18"/>
                  <w:szCs w:val="18"/>
                  <w:color w:val="0000FF"/>
                  <w:w w:val="96"/>
                </w:rPr>
                <w:t>2.</w:t>
              </w:r>
              <w:r>
                <w:rPr>
                  <w:rFonts w:ascii="Times New Roman" w:cs="Times New Roman" w:eastAsia="Times New Roman" w:hAnsi="Times New Roman"/>
                  <w:sz w:val="18"/>
                  <w:szCs w:val="18"/>
                  <w:u w:val="single" w:color="auto"/>
                  <w:color w:val="0000FF"/>
                  <w:w w:val="96"/>
                </w:rPr>
                <w:t>1)</w:t>
              </w:r>
              <w:r>
                <w:rPr>
                  <w:rFonts w:ascii="Times New Roman" w:cs="Times New Roman" w:eastAsia="Times New Roman" w:hAnsi="Times New Roman"/>
                  <w:sz w:val="18"/>
                  <w:szCs w:val="18"/>
                  <w:color w:val="0000FF"/>
                  <w:w w:val="96"/>
                </w:rPr>
                <w:t>.</w:t>
              </w:r>
            </w:hyperlink>
          </w:p>
        </w:tc>
        <w:tc>
          <w:tcPr>
            <w:tcW w:w="20" w:type="dxa"/>
            <w:vAlign w:val="bottom"/>
            <w:tcBorders>
              <w:bottom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FF"/>
              </w:rPr>
              <w:t>Description of Share Capital and American Depositary Shares.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748">
              <w:r>
                <w:rPr>
                  <w:rFonts w:ascii="Times New Roman" w:cs="Times New Roman" w:eastAsia="Times New Roman" w:hAnsi="Times New Roman"/>
                  <w:sz w:val="18"/>
                  <w:szCs w:val="18"/>
                  <w:color w:val="0000FF"/>
                </w:rPr>
                <w:t>Rental Agreement, between Technologiepark Heidelberg II</w:t>
              </w:r>
            </w:hyperlink>
          </w:p>
        </w:tc>
        <w:tc>
          <w:tcPr>
            <w:tcW w:w="2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12/18/2014</w:t>
            </w:r>
          </w:p>
        </w:tc>
        <w:tc>
          <w:tcPr>
            <w:tcW w:w="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10.3(a)</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0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rPr>
            </w:pPr>
            <w:hyperlink r:id="rId748">
              <w:r>
                <w:rPr>
                  <w:rFonts w:ascii="Times New Roman" w:cs="Times New Roman" w:eastAsia="Times New Roman" w:hAnsi="Times New Roman"/>
                  <w:sz w:val="18"/>
                  <w:szCs w:val="18"/>
                  <w:color w:val="0000FF"/>
                </w:rPr>
                <w:t>GmbH &amp; Co. KG and Ascendis Pharma GmbH (English</w:t>
              </w:r>
            </w:hyperlink>
          </w:p>
        </w:tc>
        <w:tc>
          <w:tcPr>
            <w:tcW w:w="460" w:type="dxa"/>
            <w:vAlign w:val="bottom"/>
            <w:gridSpan w:val="10"/>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FF"/>
              </w:rPr>
            </w:pPr>
            <w:hyperlink r:id="rId748">
              <w:r>
                <w:rPr>
                  <w:rFonts w:ascii="Times New Roman" w:cs="Times New Roman" w:eastAsia="Times New Roman" w:hAnsi="Times New Roman"/>
                  <w:sz w:val="18"/>
                  <w:szCs w:val="18"/>
                  <w:color w:val="0000FF"/>
                </w:rPr>
                <w:t>translation).</w:t>
              </w:r>
            </w:hyperlink>
          </w:p>
        </w:tc>
        <w:tc>
          <w:tcPr>
            <w:tcW w:w="3640" w:type="dxa"/>
            <w:vAlign w:val="bottom"/>
            <w:gridSpan w:val="24"/>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749">
              <w:r>
                <w:rPr>
                  <w:rFonts w:ascii="Times New Roman" w:cs="Times New Roman" w:eastAsia="Times New Roman" w:hAnsi="Times New Roman"/>
                  <w:sz w:val="18"/>
                  <w:szCs w:val="18"/>
                  <w:color w:val="0000FF"/>
                </w:rPr>
                <w:t>Supplement No. 1 to Rental Agreement, between</w:t>
              </w:r>
            </w:hyperlink>
          </w:p>
        </w:tc>
        <w:tc>
          <w:tcPr>
            <w:tcW w:w="98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12/18/2014</w:t>
            </w:r>
          </w:p>
        </w:tc>
        <w:tc>
          <w:tcPr>
            <w:tcW w:w="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10.3(b)</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749">
              <w:r>
                <w:rPr>
                  <w:rFonts w:ascii="Times New Roman" w:cs="Times New Roman" w:eastAsia="Times New Roman" w:hAnsi="Times New Roman"/>
                  <w:sz w:val="18"/>
                  <w:szCs w:val="18"/>
                  <w:color w:val="0000FF"/>
                  <w:w w:val="99"/>
                </w:rPr>
                <w:t>Technologiepark Heidelberg II GmbH &amp; Co. KG and Ascendis</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FF"/>
              </w:rPr>
            </w:pPr>
            <w:hyperlink r:id="rId749">
              <w:r>
                <w:rPr>
                  <w:rFonts w:ascii="Times New Roman" w:cs="Times New Roman" w:eastAsia="Times New Roman" w:hAnsi="Times New Roman"/>
                  <w:sz w:val="18"/>
                  <w:szCs w:val="18"/>
                  <w:color w:val="0000FF"/>
                </w:rPr>
                <w:t>Pharma GmbH (English translation).</w:t>
              </w:r>
            </w:hyperlink>
          </w:p>
        </w:tc>
        <w:tc>
          <w:tcPr>
            <w:tcW w:w="1880" w:type="dxa"/>
            <w:vAlign w:val="bottom"/>
            <w:gridSpan w:val="18"/>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r:id="rId746">
              <w:r>
                <w:rPr>
                  <w:rFonts w:ascii="Times New Roman" w:cs="Times New Roman" w:eastAsia="Times New Roman" w:hAnsi="Times New Roman"/>
                  <w:sz w:val="18"/>
                  <w:szCs w:val="18"/>
                  <w:color w:val="0000FF"/>
                  <w:w w:val="98"/>
                </w:rPr>
                <w:t>Reference is made to Exhibit 1.1.</w:t>
              </w:r>
            </w:hyperlink>
          </w:p>
        </w:tc>
        <w:tc>
          <w:tcPr>
            <w:tcW w:w="40" w:type="dxa"/>
            <w:vAlign w:val="bottom"/>
            <w:tcBorders>
              <w:bottom w:val="single" w:sz="8" w:color="0000EE"/>
            </w:tcBorders>
          </w:tcPr>
          <w:p>
            <w:pPr>
              <w:spacing w:after="0"/>
              <w:rPr>
                <w:sz w:val="24"/>
                <w:szCs w:val="24"/>
                <w:color w:val="auto"/>
              </w:rPr>
            </w:pPr>
          </w:p>
        </w:tc>
        <w:tc>
          <w:tcPr>
            <w:tcW w:w="212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4.2(b)</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50">
              <w:r>
                <w:rPr>
                  <w:rFonts w:ascii="Times New Roman" w:cs="Times New Roman" w:eastAsia="Times New Roman" w:hAnsi="Times New Roman"/>
                  <w:sz w:val="18"/>
                  <w:szCs w:val="18"/>
                  <w:color w:val="0000FF"/>
                  <w:w w:val="99"/>
                </w:rPr>
                <w:t>Form of Warrant Certificate for Warrants issued prior to</w:t>
              </w:r>
            </w:hyperlink>
          </w:p>
        </w:tc>
        <w:tc>
          <w:tcPr>
            <w:tcW w:w="5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12/18/2014</w:t>
            </w:r>
          </w:p>
        </w:tc>
        <w:tc>
          <w:tcPr>
            <w:tcW w:w="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10.4(b)</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50">
              <w:r>
                <w:rPr>
                  <w:rFonts w:ascii="Times New Roman" w:cs="Times New Roman" w:eastAsia="Times New Roman" w:hAnsi="Times New Roman"/>
                  <w:sz w:val="18"/>
                  <w:szCs w:val="18"/>
                  <w:color w:val="0000FF"/>
                </w:rPr>
                <w:t>December 2015.</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751">
              <w:r>
                <w:rPr>
                  <w:rFonts w:ascii="Times New Roman" w:cs="Times New Roman" w:eastAsia="Times New Roman" w:hAnsi="Times New Roman"/>
                  <w:sz w:val="18"/>
                  <w:szCs w:val="18"/>
                  <w:color w:val="0000FF"/>
                  <w:w w:val="99"/>
                </w:rPr>
                <w:t>Form of Warrant Certificate for Warrants issued since</w:t>
              </w:r>
            </w:hyperlink>
          </w:p>
        </w:tc>
        <w:tc>
          <w:tcPr>
            <w:tcW w:w="6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3/22/2017</w:t>
            </w:r>
          </w:p>
        </w:tc>
        <w:tc>
          <w:tcPr>
            <w:tcW w:w="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4.4(c)</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51">
              <w:r>
                <w:rPr>
                  <w:rFonts w:ascii="Times New Roman" w:cs="Times New Roman" w:eastAsia="Times New Roman" w:hAnsi="Times New Roman"/>
                  <w:sz w:val="18"/>
                  <w:szCs w:val="18"/>
                  <w:color w:val="0000FF"/>
                </w:rPr>
                <w:t>December 2015.</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752">
              <w:r>
                <w:rPr>
                  <w:rFonts w:ascii="Times New Roman" w:cs="Times New Roman" w:eastAsia="Times New Roman" w:hAnsi="Times New Roman"/>
                  <w:sz w:val="18"/>
                  <w:szCs w:val="18"/>
                  <w:color w:val="0000FF"/>
                </w:rPr>
                <w:t>Form of Indemnification Agreement for board members and</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1/16/2015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FF"/>
              </w:rPr>
            </w:pPr>
            <w:hyperlink r:id="rId752">
              <w:r>
                <w:rPr>
                  <w:rFonts w:ascii="Times New Roman" w:cs="Times New Roman" w:eastAsia="Times New Roman" w:hAnsi="Times New Roman"/>
                  <w:sz w:val="18"/>
                  <w:szCs w:val="18"/>
                  <w:color w:val="0000FF"/>
                </w:rPr>
                <w:t>senior management.</w:t>
              </w:r>
            </w:hyperlink>
          </w:p>
        </w:tc>
        <w:tc>
          <w:tcPr>
            <w:tcW w:w="3080" w:type="dxa"/>
            <w:vAlign w:val="bottom"/>
            <w:gridSpan w:val="2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53">
              <w:r>
                <w:rPr>
                  <w:rFonts w:ascii="Times New Roman" w:cs="Times New Roman" w:eastAsia="Times New Roman" w:hAnsi="Times New Roman"/>
                  <w:sz w:val="18"/>
                  <w:szCs w:val="18"/>
                  <w:color w:val="0000FF"/>
                </w:rPr>
                <w:t>Registration Rights Agreement dated December 11, 2015 by</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12/14/2015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753">
              <w:r>
                <w:rPr>
                  <w:rFonts w:ascii="Times New Roman" w:cs="Times New Roman" w:eastAsia="Times New Roman" w:hAnsi="Times New Roman"/>
                  <w:sz w:val="18"/>
                  <w:szCs w:val="18"/>
                  <w:color w:val="0000FF"/>
                </w:rPr>
                <w:t>and among Ascendis Pharma A/S, Fidelity Securities Fund:</w:t>
              </w:r>
            </w:hyperlink>
          </w:p>
        </w:tc>
        <w:tc>
          <w:tcPr>
            <w:tcW w:w="24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8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rPr>
            </w:pPr>
            <w:hyperlink r:id="rId753">
              <w:r>
                <w:rPr>
                  <w:rFonts w:ascii="Times New Roman" w:cs="Times New Roman" w:eastAsia="Times New Roman" w:hAnsi="Times New Roman"/>
                  <w:sz w:val="18"/>
                  <w:szCs w:val="18"/>
                  <w:color w:val="0000FF"/>
                </w:rPr>
                <w:t>Fidelity Series Small Cap Opportunities Fund—Healthcare</w:t>
              </w:r>
            </w:hyperlink>
          </w:p>
        </w:tc>
        <w:tc>
          <w:tcPr>
            <w:tcW w:w="28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753">
              <w:r>
                <w:rPr>
                  <w:rFonts w:ascii="Times New Roman" w:cs="Times New Roman" w:eastAsia="Times New Roman" w:hAnsi="Times New Roman"/>
                  <w:sz w:val="18"/>
                  <w:szCs w:val="18"/>
                  <w:color w:val="0000FF"/>
                  <w:w w:val="99"/>
                </w:rPr>
                <w:t>Sub and Fidelity Stock Selector Small Cap Fund—Health Care</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53">
              <w:r>
                <w:rPr>
                  <w:rFonts w:ascii="Times New Roman" w:cs="Times New Roman" w:eastAsia="Times New Roman" w:hAnsi="Times New Roman"/>
                  <w:sz w:val="18"/>
                  <w:szCs w:val="18"/>
                  <w:color w:val="0000FF"/>
                </w:rPr>
                <w:t>Sub.</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754">
              <w:r>
                <w:rPr>
                  <w:rFonts w:ascii="Times New Roman" w:cs="Times New Roman" w:eastAsia="Times New Roman" w:hAnsi="Times New Roman"/>
                  <w:sz w:val="18"/>
                  <w:szCs w:val="18"/>
                  <w:color w:val="0000FF"/>
                </w:rPr>
                <w:t>Lease Agreement dated September 7, 2015 between Ascendis</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2/2/2016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54">
              <w:r>
                <w:rPr>
                  <w:rFonts w:ascii="Times New Roman" w:cs="Times New Roman" w:eastAsia="Times New Roman" w:hAnsi="Times New Roman"/>
                  <w:sz w:val="18"/>
                  <w:szCs w:val="18"/>
                  <w:color w:val="0000FF"/>
                </w:rPr>
                <w:t>Pharma A/S and Dades AS.</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right w:val="single" w:sz="8" w:color="0000EE"/>
            </w:tcBorders>
            <w:gridSpan w:val="4"/>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755">
              <w:r>
                <w:rPr>
                  <w:rFonts w:ascii="Times New Roman" w:cs="Times New Roman" w:eastAsia="Times New Roman" w:hAnsi="Times New Roman"/>
                  <w:sz w:val="18"/>
                  <w:szCs w:val="18"/>
                  <w:color w:val="0000FF"/>
                </w:rPr>
                <w:t>Manufacturing and Supply Agreement dated December 21,</w:t>
              </w:r>
            </w:hyperlink>
          </w:p>
        </w:tc>
        <w:tc>
          <w:tcPr>
            <w:tcW w:w="2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3/28/2018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tcBorders>
              <w:bottom w:val="single" w:sz="8" w:color="0000EE"/>
            </w:tcBorders>
            <w:gridSpan w:val="23"/>
          </w:tcPr>
          <w:p>
            <w:pPr>
              <w:spacing w:after="0" w:line="195" w:lineRule="exact"/>
              <w:rPr>
                <w:rFonts w:ascii="Times New Roman" w:cs="Times New Roman" w:eastAsia="Times New Roman" w:hAnsi="Times New Roman"/>
                <w:sz w:val="18"/>
                <w:szCs w:val="18"/>
                <w:color w:val="0000FF"/>
              </w:rPr>
            </w:pPr>
            <w:hyperlink r:id="rId755">
              <w:r>
                <w:rPr>
                  <w:rFonts w:ascii="Times New Roman" w:cs="Times New Roman" w:eastAsia="Times New Roman" w:hAnsi="Times New Roman"/>
                  <w:sz w:val="18"/>
                  <w:szCs w:val="18"/>
                  <w:color w:val="0000FF"/>
                </w:rPr>
                <w:t>2017, between Ascendis Pharma A/S and NOF Corporation.</w:t>
              </w:r>
            </w:hyperlink>
          </w:p>
        </w:tc>
        <w:tc>
          <w:tcPr>
            <w:tcW w:w="18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756">
              <w:r>
                <w:rPr>
                  <w:rFonts w:ascii="Times New Roman" w:cs="Times New Roman" w:eastAsia="Times New Roman" w:hAnsi="Times New Roman"/>
                  <w:sz w:val="18"/>
                  <w:szCs w:val="18"/>
                  <w:color w:val="0000FF"/>
                </w:rPr>
                <w:t>Manufacturing and Supply Agreement dated January 12, 2017,</w:t>
              </w:r>
            </w:hyperlink>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3/28/2018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2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756">
              <w:r>
                <w:rPr>
                  <w:rFonts w:ascii="Times New Roman" w:cs="Times New Roman" w:eastAsia="Times New Roman" w:hAnsi="Times New Roman"/>
                  <w:sz w:val="18"/>
                  <w:szCs w:val="18"/>
                  <w:color w:val="0000FF"/>
                </w:rPr>
                <w:t>between Ascendis Pharma A/S and Medicom Innovation</w:t>
              </w:r>
            </w:hyperlink>
          </w:p>
        </w:tc>
        <w:tc>
          <w:tcPr>
            <w:tcW w:w="440" w:type="dxa"/>
            <w:vAlign w:val="bottom"/>
            <w:gridSpan w:val="9"/>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56">
              <w:r>
                <w:rPr>
                  <w:rFonts w:ascii="Times New Roman" w:cs="Times New Roman" w:eastAsia="Times New Roman" w:hAnsi="Times New Roman"/>
                  <w:sz w:val="18"/>
                  <w:szCs w:val="18"/>
                  <w:color w:val="0000FF"/>
                </w:rPr>
                <w:t>Partner A/S.</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Supply Agreement dated January 1, 2019, between Ascendis</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4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8"/>
              </w:rPr>
            </w:pPr>
            <w:hyperlink r:id="rId757">
              <w:r>
                <w:rPr>
                  <w:rFonts w:ascii="Times New Roman" w:cs="Times New Roman" w:eastAsia="Times New Roman" w:hAnsi="Times New Roman"/>
                  <w:sz w:val="18"/>
                  <w:szCs w:val="18"/>
                  <w:color w:val="0000FF"/>
                  <w:w w:val="98"/>
                </w:rPr>
                <w:t>Pharma A/S and Vetter Pharma International GMBH.</w:t>
              </w:r>
            </w:hyperlink>
          </w:p>
        </w:tc>
        <w:tc>
          <w:tcPr>
            <w:tcW w:w="40" w:type="dxa"/>
            <w:vAlign w:val="bottom"/>
            <w:tcBorders>
              <w:bottom w:val="single" w:sz="8" w:color="0000EE"/>
            </w:tcBorders>
          </w:tcPr>
          <w:p>
            <w:pPr>
              <w:spacing w:after="0"/>
              <w:rPr>
                <w:sz w:val="16"/>
                <w:szCs w:val="16"/>
                <w:color w:val="auto"/>
              </w:rPr>
            </w:pPr>
          </w:p>
        </w:tc>
        <w:tc>
          <w:tcPr>
            <w:tcW w:w="68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2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tcPr>
          <w:p>
            <w:pPr>
              <w:spacing w:after="0"/>
              <w:rPr>
                <w:sz w:val="24"/>
                <w:szCs w:val="2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 w:type="dxa"/>
            <w:vAlign w:val="bottom"/>
          </w:tcPr>
          <w:p>
            <w:pPr>
              <w:spacing w:after="0"/>
              <w:rPr>
                <w:sz w:val="24"/>
                <w:szCs w:val="24"/>
                <w:color w:val="auto"/>
              </w:rPr>
            </w:pP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25"/>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759">
              <w:r>
                <w:rPr>
                  <w:rFonts w:ascii="Times New Roman" w:cs="Times New Roman" w:eastAsia="Times New Roman" w:hAnsi="Times New Roman"/>
                  <w:sz w:val="18"/>
                  <w:szCs w:val="18"/>
                  <w:color w:val="0000FF"/>
                  <w:w w:val="99"/>
                </w:rPr>
                <w:t>Manufacturing and Supply Agreement dated October 26, 2018,</w:t>
              </w:r>
            </w:hyperlink>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FF"/>
              </w:rPr>
            </w:pPr>
            <w:hyperlink r:id="rId759">
              <w:r>
                <w:rPr>
                  <w:rFonts w:ascii="Times New Roman" w:cs="Times New Roman" w:eastAsia="Times New Roman" w:hAnsi="Times New Roman"/>
                  <w:sz w:val="18"/>
                  <w:szCs w:val="18"/>
                  <w:color w:val="0000FF"/>
                </w:rPr>
                <w:t>between Ascendis Pharma A/S and Carbogen Amcis AG.</w:t>
              </w:r>
            </w:hyperlink>
          </w:p>
        </w:tc>
        <w:tc>
          <w:tcPr>
            <w:tcW w:w="400" w:type="dxa"/>
            <w:vAlign w:val="bottom"/>
            <w:gridSpan w:val="14"/>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760">
              <w:r>
                <w:rPr>
                  <w:rFonts w:ascii="Times New Roman" w:cs="Times New Roman" w:eastAsia="Times New Roman" w:hAnsi="Times New Roman"/>
                  <w:sz w:val="18"/>
                  <w:szCs w:val="18"/>
                  <w:color w:val="0000FF"/>
                </w:rPr>
                <w:t>Exclusive Licence Agreement dated November 7, 2018,</w:t>
              </w:r>
            </w:hyperlink>
          </w:p>
        </w:tc>
        <w:tc>
          <w:tcPr>
            <w:tcW w:w="5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760">
              <w:r>
                <w:rPr>
                  <w:rFonts w:ascii="Times New Roman" w:cs="Times New Roman" w:eastAsia="Times New Roman" w:hAnsi="Times New Roman"/>
                  <w:sz w:val="18"/>
                  <w:szCs w:val="18"/>
                  <w:color w:val="0000FF"/>
                </w:rPr>
                <w:t>between Ascendis Pharma Growth Disorders A/S and VISEN</w:t>
              </w:r>
            </w:hyperlink>
          </w:p>
        </w:tc>
        <w:tc>
          <w:tcPr>
            <w:tcW w:w="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FF"/>
              </w:rPr>
            </w:pPr>
            <w:hyperlink r:id="rId760">
              <w:r>
                <w:rPr>
                  <w:rFonts w:ascii="Times New Roman" w:cs="Times New Roman" w:eastAsia="Times New Roman" w:hAnsi="Times New Roman"/>
                  <w:sz w:val="18"/>
                  <w:szCs w:val="18"/>
                  <w:color w:val="0000FF"/>
                </w:rPr>
                <w:t>Pharmaceuticals (CNP).</w:t>
              </w:r>
            </w:hyperlink>
          </w:p>
        </w:tc>
        <w:tc>
          <w:tcPr>
            <w:tcW w:w="2780" w:type="dxa"/>
            <w:vAlign w:val="bottom"/>
            <w:gridSpan w:val="23"/>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761">
              <w:r>
                <w:rPr>
                  <w:rFonts w:ascii="Times New Roman" w:cs="Times New Roman" w:eastAsia="Times New Roman" w:hAnsi="Times New Roman"/>
                  <w:sz w:val="18"/>
                  <w:szCs w:val="18"/>
                  <w:color w:val="0000FF"/>
                </w:rPr>
                <w:t>Exclusive Licence Agreement dated November 7, 2018,</w:t>
              </w:r>
            </w:hyperlink>
          </w:p>
        </w:tc>
        <w:tc>
          <w:tcPr>
            <w:tcW w:w="5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6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rPr>
            </w:pPr>
            <w:hyperlink r:id="rId761">
              <w:r>
                <w:rPr>
                  <w:rFonts w:ascii="Times New Roman" w:cs="Times New Roman" w:eastAsia="Times New Roman" w:hAnsi="Times New Roman"/>
                  <w:sz w:val="18"/>
                  <w:szCs w:val="18"/>
                  <w:color w:val="0000FF"/>
                </w:rPr>
                <w:t>between Ascendis Pharma Endocrinology Division A/S and</w:t>
              </w:r>
            </w:hyperlink>
          </w:p>
        </w:tc>
        <w:tc>
          <w:tcPr>
            <w:tcW w:w="20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FF"/>
              </w:rPr>
            </w:pPr>
            <w:hyperlink r:id="rId761">
              <w:r>
                <w:rPr>
                  <w:rFonts w:ascii="Times New Roman" w:cs="Times New Roman" w:eastAsia="Times New Roman" w:hAnsi="Times New Roman"/>
                  <w:sz w:val="18"/>
                  <w:szCs w:val="18"/>
                  <w:color w:val="0000FF"/>
                </w:rPr>
                <w:t>VISEN Pharmaceuticals (hGH).</w:t>
              </w:r>
            </w:hyperlink>
          </w:p>
        </w:tc>
        <w:tc>
          <w:tcPr>
            <w:tcW w:w="2200" w:type="dxa"/>
            <w:vAlign w:val="bottom"/>
            <w:gridSpan w:val="2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762">
              <w:r>
                <w:rPr>
                  <w:rFonts w:ascii="Times New Roman" w:cs="Times New Roman" w:eastAsia="Times New Roman" w:hAnsi="Times New Roman"/>
                  <w:sz w:val="18"/>
                  <w:szCs w:val="18"/>
                  <w:color w:val="0000FF"/>
                </w:rPr>
                <w:t>Exclusive Licence Agreement dated November 7, 2018,</w:t>
              </w:r>
            </w:hyperlink>
          </w:p>
        </w:tc>
        <w:tc>
          <w:tcPr>
            <w:tcW w:w="5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6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762">
              <w:r>
                <w:rPr>
                  <w:rFonts w:ascii="Times New Roman" w:cs="Times New Roman" w:eastAsia="Times New Roman" w:hAnsi="Times New Roman"/>
                  <w:sz w:val="18"/>
                  <w:szCs w:val="18"/>
                  <w:color w:val="0000FF"/>
                </w:rPr>
                <w:t>between Ascendis Pharma Bone Diseases A/S and VISEN</w:t>
              </w:r>
            </w:hyperlink>
          </w:p>
        </w:tc>
        <w:tc>
          <w:tcPr>
            <w:tcW w:w="300" w:type="dxa"/>
            <w:vAlign w:val="bottom"/>
            <w:gridSpan w:val="1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FF"/>
              </w:rPr>
            </w:pPr>
            <w:hyperlink r:id="rId762">
              <w:r>
                <w:rPr>
                  <w:rFonts w:ascii="Times New Roman" w:cs="Times New Roman" w:eastAsia="Times New Roman" w:hAnsi="Times New Roman"/>
                  <w:sz w:val="18"/>
                  <w:szCs w:val="18"/>
                  <w:color w:val="0000FF"/>
                </w:rPr>
                <w:t>Pharmaceuticals (PTH).</w:t>
              </w:r>
            </w:hyperlink>
          </w:p>
        </w:tc>
        <w:tc>
          <w:tcPr>
            <w:tcW w:w="2800" w:type="dxa"/>
            <w:vAlign w:val="bottom"/>
            <w:gridSpan w:val="24"/>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763">
              <w:r>
                <w:rPr>
                  <w:rFonts w:ascii="Times New Roman" w:cs="Times New Roman" w:eastAsia="Times New Roman" w:hAnsi="Times New Roman"/>
                  <w:sz w:val="18"/>
                  <w:szCs w:val="18"/>
                  <w:color w:val="0000FF"/>
                  <w:w w:val="99"/>
                </w:rPr>
                <w:t>Tech Transfer and Manufacturing Services Agreement dated</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4/2/2020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2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763">
              <w:r>
                <w:rPr>
                  <w:rFonts w:ascii="Times New Roman" w:cs="Times New Roman" w:eastAsia="Times New Roman" w:hAnsi="Times New Roman"/>
                  <w:sz w:val="18"/>
                  <w:szCs w:val="18"/>
                  <w:color w:val="0000FF"/>
                </w:rPr>
                <w:t>December 12, 2019 between Ascendis Pharma A/S and Lonza</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763">
              <w:r>
                <w:rPr>
                  <w:rFonts w:ascii="Times New Roman" w:cs="Times New Roman" w:eastAsia="Times New Roman" w:hAnsi="Times New Roman"/>
                  <w:sz w:val="18"/>
                  <w:szCs w:val="18"/>
                  <w:color w:val="0000FF"/>
                  <w:w w:val="94"/>
                </w:rPr>
                <w:t>Ltd.</w:t>
              </w:r>
            </w:hyperlink>
          </w:p>
        </w:tc>
        <w:tc>
          <w:tcPr>
            <w:tcW w:w="40" w:type="dxa"/>
            <w:vAlign w:val="bottom"/>
            <w:tcBorders>
              <w:bottom w:val="single" w:sz="8" w:color="0000EE"/>
            </w:tcBorders>
          </w:tcPr>
          <w:p>
            <w:pPr>
              <w:spacing w:after="0"/>
              <w:rPr>
                <w:sz w:val="16"/>
                <w:szCs w:val="16"/>
                <w:color w:val="auto"/>
              </w:rPr>
            </w:pPr>
          </w:p>
        </w:tc>
        <w:tc>
          <w:tcPr>
            <w:tcW w:w="4220" w:type="dxa"/>
            <w:vAlign w:val="bottom"/>
            <w:gridSpan w:val="2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Packaging and Supply Agreement dated December 1, 2019</w:t>
              </w:r>
            </w:hyperlink>
          </w:p>
        </w:tc>
        <w:tc>
          <w:tcPr>
            <w:tcW w:w="2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4/2/2020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between Ascendis Pharma A/S and Sharp Corporation.</w:t>
              </w:r>
            </w:hyperlink>
          </w:p>
        </w:tc>
        <w:tc>
          <w:tcPr>
            <w:tcW w:w="580" w:type="dxa"/>
            <w:vAlign w:val="bottom"/>
            <w:gridSpan w:val="17"/>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65">
              <w:r>
                <w:rPr>
                  <w:rFonts w:ascii="Times New Roman" w:cs="Times New Roman" w:eastAsia="Times New Roman" w:hAnsi="Times New Roman"/>
                  <w:sz w:val="18"/>
                  <w:szCs w:val="18"/>
                  <w:color w:val="0000FF"/>
                </w:rPr>
                <w:t>Manufacturing and Supply Agreement dated December 27,</w:t>
              </w:r>
            </w:hyperlink>
          </w:p>
        </w:tc>
        <w:tc>
          <w:tcPr>
            <w:tcW w:w="26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65">
              <w:r>
                <w:rPr>
                  <w:rFonts w:ascii="Times New Roman" w:cs="Times New Roman" w:eastAsia="Times New Roman" w:hAnsi="Times New Roman"/>
                  <w:sz w:val="18"/>
                  <w:szCs w:val="18"/>
                  <w:color w:val="0000FF"/>
                </w:rPr>
                <w:t>2020, between Ascendis Pharma A/S and Bachem AG.</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766">
              <w:r>
                <w:rPr>
                  <w:rFonts w:ascii="Times New Roman" w:cs="Times New Roman" w:eastAsia="Times New Roman" w:hAnsi="Times New Roman"/>
                  <w:sz w:val="18"/>
                  <w:szCs w:val="18"/>
                  <w:color w:val="0000FF"/>
                </w:rPr>
                <w:t>Manufacturing and Supply Agreement dated May 27, 2021,</w:t>
              </w:r>
            </w:hyperlink>
          </w:p>
        </w:tc>
        <w:tc>
          <w:tcPr>
            <w:tcW w:w="2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66">
              <w:r>
                <w:rPr>
                  <w:rFonts w:ascii="Times New Roman" w:cs="Times New Roman" w:eastAsia="Times New Roman" w:hAnsi="Times New Roman"/>
                  <w:sz w:val="18"/>
                  <w:szCs w:val="18"/>
                  <w:color w:val="0000FF"/>
                </w:rPr>
                <w:t>between Ascendis Pharma A/S and Carbogen Amcis AG.</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67">
              <w:r>
                <w:rPr>
                  <w:rFonts w:ascii="Times New Roman" w:cs="Times New Roman" w:eastAsia="Times New Roman" w:hAnsi="Times New Roman"/>
                  <w:sz w:val="18"/>
                  <w:szCs w:val="18"/>
                  <w:color w:val="0000FF"/>
                </w:rPr>
                <w:t>Manufacturing and Supply Agreement dated August 31, 2020</w:t>
              </w:r>
            </w:hyperlink>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67">
              <w:r>
                <w:rPr>
                  <w:rFonts w:ascii="Times New Roman" w:cs="Times New Roman" w:eastAsia="Times New Roman" w:hAnsi="Times New Roman"/>
                  <w:sz w:val="18"/>
                  <w:szCs w:val="18"/>
                  <w:color w:val="0000FF"/>
                </w:rPr>
                <w:t>between Ascendis Pharma A/S and NOF Corporation.</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768">
              <w:r>
                <w:rPr>
                  <w:rFonts w:ascii="Times New Roman" w:cs="Times New Roman" w:eastAsia="Times New Roman" w:hAnsi="Times New Roman"/>
                  <w:sz w:val="18"/>
                  <w:szCs w:val="18"/>
                  <w:color w:val="0000FF"/>
                </w:rPr>
                <w:t>Amended and Restated Shareholders Agreement dated January</w:t>
              </w:r>
            </w:hyperlink>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768">
              <w:r>
                <w:rPr>
                  <w:rFonts w:ascii="Times New Roman" w:cs="Times New Roman" w:eastAsia="Times New Roman" w:hAnsi="Times New Roman"/>
                  <w:sz w:val="18"/>
                  <w:szCs w:val="18"/>
                  <w:color w:val="0000FF"/>
                </w:rPr>
                <w:t>8, 2021, by and among Ascendis Pharma A/S and the parties</w:t>
              </w:r>
            </w:hyperlink>
          </w:p>
        </w:tc>
        <w:tc>
          <w:tcPr>
            <w:tcW w:w="16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28"/>
          </w:tcPr>
          <w:p>
            <w:pPr>
              <w:spacing w:after="0" w:line="195" w:lineRule="exact"/>
              <w:rPr>
                <w:rFonts w:ascii="Times New Roman" w:cs="Times New Roman" w:eastAsia="Times New Roman" w:hAnsi="Times New Roman"/>
                <w:sz w:val="18"/>
                <w:szCs w:val="18"/>
                <w:color w:val="0000FF"/>
              </w:rPr>
            </w:pPr>
            <w:hyperlink r:id="rId768">
              <w:r>
                <w:rPr>
                  <w:rFonts w:ascii="Times New Roman" w:cs="Times New Roman" w:eastAsia="Times New Roman" w:hAnsi="Times New Roman"/>
                  <w:sz w:val="18"/>
                  <w:szCs w:val="18"/>
                  <w:color w:val="0000FF"/>
                </w:rPr>
                <w:t>set forth therein.</w:t>
              </w:r>
            </w:hyperlink>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Amendment Letter to the Exclusive Licence Agreement dated</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6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January 4, 2021 between Ascendis Pharma Growth Disorders</w:t>
              </w:r>
            </w:hyperlink>
          </w:p>
        </w:tc>
        <w:tc>
          <w:tcPr>
            <w:tcW w:w="1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A/S and VISEN Pharmaceuticals (CNP).</w:t>
              </w:r>
            </w:hyperlink>
          </w:p>
        </w:tc>
        <w:tc>
          <w:tcPr>
            <w:tcW w:w="1580" w:type="dxa"/>
            <w:vAlign w:val="bottom"/>
            <w:gridSpan w:val="20"/>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Amendment Letter to the Exclusive Licence Agreement dated</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4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January 4, 2021 between Ascendis Pharma Endocrinology</w:t>
              </w:r>
            </w:hyperlink>
          </w:p>
        </w:tc>
        <w:tc>
          <w:tcPr>
            <w:tcW w:w="32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Division A/S and VISEN Pharmaceuticals (hGH).</w:t>
              </w:r>
            </w:hyperlink>
          </w:p>
        </w:tc>
        <w:tc>
          <w:tcPr>
            <w:tcW w:w="920" w:type="dxa"/>
            <w:vAlign w:val="bottom"/>
            <w:gridSpan w:val="19"/>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Amendment Letter to the Exclusive Licence Agreement dated</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January 4, 2021 between Ascendis Pharma Bone Diseases A/S</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and VISEN Pharmaceuticals (PTH).</w:t>
              </w:r>
            </w:hyperlink>
          </w:p>
        </w:tc>
        <w:tc>
          <w:tcPr>
            <w:tcW w:w="1920" w:type="dxa"/>
            <w:vAlign w:val="bottom"/>
            <w:gridSpan w:val="21"/>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414020</wp:posOffset>
            </wp:positionV>
            <wp:extent cx="715835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411" w:right="35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80" w:type="dxa"/>
            <w:vAlign w:val="bottom"/>
            <w:gridSpan w:val="1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24"/>
                <w:szCs w:val="24"/>
                <w:color w:val="auto"/>
              </w:rPr>
            </w:pP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Provided</w:t>
            </w:r>
          </w:p>
        </w:tc>
        <w:tc>
          <w:tcPr>
            <w:tcW w:w="0" w:type="dxa"/>
            <w:vAlign w:val="bottom"/>
          </w:tcPr>
          <w:p>
            <w:pPr>
              <w:spacing w:after="0"/>
              <w:rPr>
                <w:sz w:val="1"/>
                <w:szCs w:val="1"/>
                <w:color w:val="auto"/>
              </w:rPr>
            </w:pPr>
          </w:p>
        </w:tc>
      </w:tr>
      <w:tr>
        <w:trPr>
          <w:trHeight w:val="175"/>
        </w:trPr>
        <w:tc>
          <w:tcPr>
            <w:tcW w:w="13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80" w:type="dxa"/>
            <w:vAlign w:val="bottom"/>
            <w:gridSpan w:val="12"/>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0"/>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54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0000FF"/>
              </w:rPr>
              <w:t>Revenue Participation Right Purchase and Sale Agreement</w:t>
            </w: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4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dated September 5, 2023 between Ascendis Pharma</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4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Endocrinology Division A/S, Ascendis Pharma A/S and</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4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Royalty Pharma Development Funding LLC.</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w w:val="99"/>
              </w:rPr>
            </w:pPr>
            <w:hyperlink r:id="rId773">
              <w:r>
                <w:rPr>
                  <w:rFonts w:ascii="Times New Roman" w:cs="Times New Roman" w:eastAsia="Times New Roman" w:hAnsi="Times New Roman"/>
                  <w:sz w:val="18"/>
                  <w:szCs w:val="18"/>
                  <w:color w:val="0000FF"/>
                  <w:w w:val="99"/>
                </w:rPr>
                <w:t>Ascendis Pharma A/S Restricted Stock Unit Program.</w:t>
              </w:r>
            </w:hyperlink>
          </w:p>
        </w:tc>
        <w:tc>
          <w:tcPr>
            <w:tcW w:w="6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2/28/2023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8"/>
              </w:rPr>
              <w:t>333-270088</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3"/>
          </w:tcPr>
          <w:p>
            <w:pPr>
              <w:spacing w:after="0"/>
              <w:rPr>
                <w:rFonts w:ascii="Times New Roman" w:cs="Times New Roman" w:eastAsia="Times New Roman" w:hAnsi="Times New Roman"/>
                <w:sz w:val="18"/>
                <w:szCs w:val="18"/>
                <w:color w:val="0000FF"/>
              </w:rPr>
            </w:pPr>
            <w:hyperlink r:id="rId774">
              <w:r>
                <w:rPr>
                  <w:rFonts w:ascii="Times New Roman" w:cs="Times New Roman" w:eastAsia="Times New Roman" w:hAnsi="Times New Roman"/>
                  <w:sz w:val="18"/>
                  <w:szCs w:val="18"/>
                  <w:color w:val="0000FF"/>
                </w:rPr>
                <w:t>Ascendis Pharma A/S Performance Stock Unit Program.</w:t>
              </w:r>
            </w:hyperlink>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2/28/2023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99.3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8"/>
              </w:rPr>
              <w:t>333-270088</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Insider Trading Compliance Policy.</w:t>
            </w:r>
          </w:p>
        </w:tc>
        <w:tc>
          <w:tcPr>
            <w:tcW w:w="20" w:type="dxa"/>
            <w:vAlign w:val="bottom"/>
            <w:tcBorders>
              <w:bottom w:val="single" w:sz="8" w:color="0000EE"/>
            </w:tcBorders>
          </w:tcPr>
          <w:p>
            <w:pPr>
              <w:spacing w:after="0"/>
              <w:rPr>
                <w:sz w:val="24"/>
                <w:szCs w:val="24"/>
                <w:color w:val="auto"/>
              </w:rPr>
            </w:pPr>
          </w:p>
        </w:tc>
        <w:tc>
          <w:tcPr>
            <w:tcW w:w="19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w:t>
            </w:r>
          </w:p>
        </w:tc>
        <w:tc>
          <w:tcPr>
            <w:tcW w:w="5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06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66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w:t>
            </w:r>
          </w:p>
        </w:tc>
        <w:tc>
          <w:tcPr>
            <w:tcW w:w="5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06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166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Ascendis Pharma A/S Policy for Recovery of Erroneously</w:t>
            </w:r>
          </w:p>
        </w:tc>
        <w:tc>
          <w:tcPr>
            <w:tcW w:w="2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4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Awarded Compensation.</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27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EX-101.INS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EX-101.SCH</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included in Exhibit 101).</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9480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5">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Confidential treatment has been granted for certain information contained in this Exhibit. Such information has been omitted and filed separately with the SEC.</w:t>
      </w:r>
    </w:p>
    <w:p>
      <w:pPr>
        <w:spacing w:after="0" w:line="26" w:lineRule="exact"/>
        <w:rPr>
          <w:sz w:val="20"/>
          <w:szCs w:val="20"/>
          <w:color w:val="auto"/>
        </w:rPr>
      </w:pPr>
    </w:p>
    <w:p>
      <w:pPr>
        <w:ind w:left="100" w:right="420" w:firstLine="7"/>
        <w:spacing w:after="0" w:line="286" w:lineRule="auto"/>
        <w:tabs>
          <w:tab w:leader="none" w:pos="221"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marked by asterisks, have been omitted pursuant to Instruction 4(a) to Exhibits to Form 20-F because they are both (i) not material, and (ii) include information of the type that we treat as private or confidential.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414020</wp:posOffset>
            </wp:positionV>
            <wp:extent cx="715835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411" w:right="359" w:bottom="1440" w:gutter="0" w:footer="0" w:header="0"/>
        </w:sectPr>
      </w:pPr>
    </w:p>
    <w:bookmarkStart w:id="240" w:name="page241"/>
    <w:bookmarkEnd w:id="24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3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25400</wp:posOffset>
            </wp:positionV>
            <wp:extent cx="258000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Jan Møller Mikkelsen</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Board Member</w:t>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25400</wp:posOffset>
            </wp:positionV>
            <wp:extent cx="258000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Scott T. Smith</w:t>
      </w:r>
    </w:p>
    <w:p>
      <w:pPr>
        <w:spacing w:after="0" w:line="3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83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our share capital as well as a description of certain provisions of our articles of association,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2015 Registration Rights Agreement and Danish law in effect as of the date of our Annual Report on Form 20-F. The summary below does not purport to be complete and is qualified in its entirety by reference to applicable Danish Law and our articles of association and the 2015 Registration Rights Agreement, copies of which are incorporated by reference into our Annual Report on Form 20-F. Further, please note that ADS holders are not treated as our shareholders and do not have rights as a shareholder. For more information regarding the rights of ADS holders, see “Description of American Depositary Shares”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company was incorporated on September 21, 2006 as a private limited liability company (in Danish: </w:t>
      </w:r>
      <w:r>
        <w:rPr>
          <w:rFonts w:ascii="Times New Roman" w:cs="Times New Roman" w:eastAsia="Times New Roman" w:hAnsi="Times New Roman"/>
          <w:sz w:val="18"/>
          <w:szCs w:val="18"/>
          <w:i w:val="1"/>
          <w:iCs w:val="1"/>
          <w:color w:val="auto"/>
        </w:rPr>
        <w:t>Anpartsselskab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ApS</w:t>
      </w:r>
      <w:r>
        <w:rPr>
          <w:rFonts w:ascii="Times New Roman" w:cs="Times New Roman" w:eastAsia="Times New Roman" w:hAnsi="Times New Roman"/>
          <w:sz w:val="18"/>
          <w:szCs w:val="18"/>
          <w:color w:val="auto"/>
        </w:rPr>
        <w:t>) under Danish law and is</w:t>
      </w:r>
    </w:p>
    <w:p>
      <w:pPr>
        <w:spacing w:after="0" w:line="2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 xml:space="preserve">registered with the Danish Business Authority (in Danish: </w:t>
      </w:r>
      <w:r>
        <w:rPr>
          <w:rFonts w:ascii="Times New Roman" w:cs="Times New Roman" w:eastAsia="Times New Roman" w:hAnsi="Times New Roman"/>
          <w:sz w:val="18"/>
          <w:szCs w:val="18"/>
          <w:i w:val="1"/>
          <w:iCs w:val="1"/>
          <w:color w:val="auto"/>
        </w:rPr>
        <w:t>Erhvervsstyrelsen</w:t>
      </w:r>
      <w:r>
        <w:rPr>
          <w:rFonts w:ascii="Times New Roman" w:cs="Times New Roman" w:eastAsia="Times New Roman" w:hAnsi="Times New Roman"/>
          <w:sz w:val="18"/>
          <w:szCs w:val="18"/>
          <w:color w:val="auto"/>
        </w:rPr>
        <w:t xml:space="preserve">) in Copenhagen, Denmark under registration number 29918791. On December 17, 2007, our company was converted into a public limited liability company (in Danish: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w:t>
      </w:r>
      <w:r>
        <w:rPr>
          <w:rFonts w:ascii="Times New Roman" w:cs="Times New Roman" w:eastAsia="Times New Roman" w:hAnsi="Times New Roman"/>
          <w:sz w:val="18"/>
          <w:szCs w:val="18"/>
          <w:color w:val="auto"/>
        </w:rPr>
        <w:t>). Our company’s headquarters and registered office is Tuborg Boulevard 12, DK-2900 Hellerup, Denmark.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Authorizations to our board of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our board of directors is authorized to increase the share capital as follows:</w:t>
      </w:r>
    </w:p>
    <w:p>
      <w:pPr>
        <w:spacing w:after="0" w:line="116" w:lineRule="exact"/>
        <w:rPr>
          <w:sz w:val="20"/>
          <w:szCs w:val="20"/>
          <w:color w:val="auto"/>
        </w:rPr>
      </w:pPr>
    </w:p>
    <w:p>
      <w:pPr>
        <w:ind w:left="1020" w:hanging="504"/>
        <w:spacing w:after="0" w:line="265" w:lineRule="auto"/>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9,000,000 shares with pre-emptive subscription rights for existing shareholders. Capital increases according to this authorization shall be carried out by our board of directors by way of cash contributions. This authorization is valid until May 28, 2024.</w:t>
      </w:r>
    </w:p>
    <w:p>
      <w:pPr>
        <w:spacing w:after="0" w:line="67" w:lineRule="exact"/>
        <w:rPr>
          <w:rFonts w:ascii="Times New Roman" w:cs="Times New Roman" w:eastAsia="Times New Roman" w:hAnsi="Times New Roman"/>
          <w:sz w:val="18"/>
          <w:szCs w:val="18"/>
          <w:color w:val="auto"/>
        </w:rPr>
      </w:pPr>
    </w:p>
    <w:p>
      <w:pPr>
        <w:ind w:left="1020" w:right="40" w:hanging="504"/>
        <w:spacing w:after="0" w:line="259" w:lineRule="auto"/>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at one or more times to increase our share capital by up to nominal DKK 6,125,000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This authorization is valid until May 27, 2026.</w:t>
      </w:r>
    </w:p>
    <w:p>
      <w:pPr>
        <w:spacing w:after="0" w:line="75"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578,717 warrants and to increase our share capital by up to nominal 578,717 shares without pre-emptive subscription rights for existing shareholders in connection with the exercise, if any, of said warrants and to determine the terms and conditions thereof. This authorization is valid until May 28, 2025.</w:t>
      </w:r>
    </w:p>
    <w:p>
      <w:pPr>
        <w:spacing w:after="0" w:line="67" w:lineRule="exact"/>
        <w:rPr>
          <w:rFonts w:ascii="Times New Roman" w:cs="Times New Roman" w:eastAsia="Times New Roman" w:hAnsi="Times New Roman"/>
          <w:sz w:val="18"/>
          <w:szCs w:val="18"/>
          <w:color w:val="auto"/>
        </w:rPr>
      </w:pPr>
    </w:p>
    <w:p>
      <w:pPr>
        <w:ind w:left="1020" w:right="20" w:hanging="504"/>
        <w:spacing w:after="0" w:line="255" w:lineRule="auto"/>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without pre-emptive rights for existing shareholders, authorized to obtain loans against issuance of convertible bonds which confer the right to subscribe for shares in the company. Our board of directors is authorized to increase the share capital by a nominal value of up to DKK 9,000,000 at one or more times by conversion of the convertible bonds. The convertible bonds shall be offered at a subscription price and a conversion price that correspond in aggregate to at least the market price of the shares at the time of the decision of our board of directors to issue the convertible bonds. The loans shall be paid in cash and our board of directors shall determine the terms and conditions for the convertible bonds. This authorization is valid until May 29, 2027.</w:t>
      </w:r>
    </w:p>
    <w:p>
      <w:pPr>
        <w:spacing w:after="0" w:line="79" w:lineRule="exact"/>
        <w:rPr>
          <w:rFonts w:ascii="Times New Roman" w:cs="Times New Roman" w:eastAsia="Times New Roman" w:hAnsi="Times New Roman"/>
          <w:sz w:val="18"/>
          <w:szCs w:val="18"/>
          <w:color w:val="auto"/>
        </w:rPr>
      </w:pPr>
    </w:p>
    <w:p>
      <w:pPr>
        <w:ind w:left="1020" w:hanging="504"/>
        <w:spacing w:after="0" w:line="259" w:lineRule="auto"/>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on one or more occasions authorized to issue 985,504 warrants to members of the executive management and employees, advisors and consultants of the company or our subsidiaries and to increase our share capital by up to 985.504 shares, without pre-emptive subscription rights for existing shareholders in connection with the exercise, if any, of said warrants and to determine the terms and conditions thereof. The exercise price for the warrants shall be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835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2" w:name="page243"/>
    <w:bookmarkEnd w:id="242"/>
    <w:p>
      <w:pPr>
        <w:ind w:left="1020" w:right="780"/>
        <w:spacing w:after="0" w:line="280" w:lineRule="auto"/>
        <w:rPr>
          <w:sz w:val="20"/>
          <w:szCs w:val="20"/>
          <w:color w:val="auto"/>
        </w:rPr>
      </w:pPr>
      <w:r>
        <w:rPr>
          <w:rFonts w:ascii="Times New Roman" w:cs="Times New Roman" w:eastAsia="Times New Roman" w:hAnsi="Times New Roman"/>
          <w:sz w:val="18"/>
          <w:szCs w:val="18"/>
          <w:color w:val="auto"/>
        </w:rPr>
        <w:t>in consultation with the company’s advisors and shall at least be equal to the market price of the shares at the time of issuance. This authorization is valid until May 29, 2027.</w:t>
      </w:r>
    </w:p>
    <w:p>
      <w:pPr>
        <w:spacing w:after="0" w:line="16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If our board of directors exercises its authorizations in full, and all warrants and convertible debt instruments are exercised fully (not including already issued warrants and already issued convertible debt instruments), then our share capital will amount to 83,396,660 shares consisting of 83,396,660 shares with a nominal value of DKK 1 each.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ADSs are listed on The Nasdaq Global Select Market under the symbol “ASND.”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warrants</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2023, our board of directors is authorized to issue 1,564,221 warrants in the period ending May 29, 2027. As of December 31, 2023, there were outstanding 6,523,784 warrants to subscribe for our ordinary shares and such warrants had a weighted average exercise price of €86.38.</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our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w:t>
      </w:r>
    </w:p>
    <w:p>
      <w:pPr>
        <w:spacing w:after="0" w:line="18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warrants granted under the program from December 2012 until and including November 2021 generally vest 1/48th per month from the date of grant subject to continued service for employees, consultants and grants to board members. However, effective from December 2015, subsequent grants to board members vest 1/24th per month from the date of grant.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87"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for warrants granted under the program as in effect since December 9, 2021, the following vesting applies:</w:t>
      </w:r>
    </w:p>
    <w:p>
      <w:pPr>
        <w:spacing w:after="0" w:line="16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 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43" w:name="page244"/>
    <w:bookmarkEnd w:id="243"/>
    <w:p>
      <w:pPr>
        <w:ind w:right="100"/>
        <w:spacing w:after="0" w:line="259"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For 6,523,784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and PSU program</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board of directors is authorized to during the period until May 27, 2026, on one or more occasions, to purchase up to nominal DKK 2,000,000 shares or American Depositary Shares (“ADSs”) representing a corresponding amount of shares in the company as treasury shares.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board of directors is authorized to during the period until May 29, 2028, on one or more occasions, to purchase up to nominal DKK 1,000,000 shares or American Depositary Shares (“ADSs”) representing a corresponding amount of shares in the company as treasury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Program</w:t>
      </w:r>
    </w:p>
    <w:p>
      <w:pPr>
        <w:spacing w:after="0" w:line="12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Our board of directors has partially exercised this right and the company has re-purchased nominal DKK 1,154,837 ADSs in December 2021 (nominal DKK 154,837) and March 2022 (nominal DKK 1,000,000), representing a corresponding amount of shares in the company as treasury shares primarily to be granted as Restricted Stock Units (“RSUs”) or Performance Stock Units (“PSUs”) in connection with the implementation of a restricted stock units Program (“RSU Program”) and a performance stock units program (“PSU Program”) in the company. In December 2022, 41,685 ADSs were transferred under the company's RSU program and in December 2023, 20,098 ADSs were transferred under the company's RSU program.</w:t>
      </w:r>
    </w:p>
    <w:p>
      <w:pPr>
        <w:spacing w:after="0" w:line="18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RSUs may be granted to members of the senior management team, non-executive directors, and other employees (“RSU Participants”) employed with the company or another company within the company’s group. Our board of directors may also, at its sole discretion, decide to grant RSUs to consultants or members of our board of directors who are then also deemed RSU Participants.</w:t>
      </w:r>
    </w:p>
    <w:p>
      <w:pPr>
        <w:spacing w:after="0" w:line="17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One RSU represents a right for the RSU Participant to receive one Ascendis Pharma A/S American Depositary Share upon vesting. One Ascendis Pharma A/S American Depositary Share (“ADS”) represents one (1) ordinary share in the company with a nominal value of DKK 1.00. ADSs underlying RSUs are deemed to be treasury shares that have been repurchased in the market and, upon vesting, the company may at its sole discretion choose to make a cash settlement instead of delivering ADSs.</w:t>
      </w:r>
    </w:p>
    <w:p>
      <w:pPr>
        <w:spacing w:after="0" w:line="18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RSUs and may at its discretion and on an individual basis decide to deviate from the vesting principles and/or the vesting conditions as set forth in the RSU Program.</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RSUs are issued and granted to the RSU Participant free of charge. It is a condition for vesting that the RSU Participant is still either employed or retained as consultant within the company or another company within the company’s group or appointed as member of the board of directors on the vesting date. Subject to earlier vesting, upon the occurrence of certain exit events, for each award of RSUs 1/3 of such RSUs will vest on each anniversary of the date of grant, subject to continued service and, in the case of the RSUs granted to our chief executive officer, subject to the achievement of a performance condition as determined by our board of directors.</w:t>
      </w:r>
    </w:p>
    <w:p>
      <w:pPr>
        <w:spacing w:after="0" w:line="18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On March 1, 2023, our board of directors granted an aggregate of (i) 16,188 RSUs to certain non-employee board members of the company, (ii) 171,758 RSUs to certain members of senior management of the company, and (iii) 421,749 RSUs to certain other employees of the company under the terms of the RSU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Program</w:t>
      </w:r>
    </w:p>
    <w:p>
      <w:pPr>
        <w:spacing w:after="0" w:line="12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PSUs may be granted to members of the senior management team, non-executive directors and other employees (“PSU Participants”) employed with the company or another company within the company’s group. Our board of</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44" w:name="page245"/>
    <w:bookmarkEnd w:id="244"/>
    <w:p>
      <w:pPr>
        <w:ind w:right="820"/>
        <w:spacing w:after="0" w:line="280" w:lineRule="auto"/>
        <w:rPr>
          <w:sz w:val="20"/>
          <w:szCs w:val="20"/>
          <w:color w:val="auto"/>
        </w:rPr>
      </w:pPr>
      <w:r>
        <w:rPr>
          <w:rFonts w:ascii="Times New Roman" w:cs="Times New Roman" w:eastAsia="Times New Roman" w:hAnsi="Times New Roman"/>
          <w:sz w:val="18"/>
          <w:szCs w:val="18"/>
          <w:color w:val="auto"/>
        </w:rPr>
        <w:t>directors may also at its sole discretion decide to grant PSUs to consultants or members of our board of directors, who are then also deemed PSU Participants.</w:t>
      </w:r>
    </w:p>
    <w:p>
      <w:pPr>
        <w:spacing w:after="0" w:line="1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One PSU represents a right for the PSU Participant to receive one Ascendis Pharma A/S American Depositary Share upon vesting. One Ascendis Pharma A/S American Depositary Share (“ADS”) represents one (1) ordinary share in the company with a nominal value of DKK 1.00. ADSs underlying PSUs are deemed to be treasury shares that have been repurchased in the market and, upon vesting, the company may at its sole discretion choose to make a cash settlement instead of delivering ADSs.</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PSUs and may at its discretion and on an individual basis decide to deviate from the vesting principles and/or the vesting conditions as set forth in the company’s PSU Program.</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PSUs are issued and granted to the PSU Participant free of charge. It is a condition for vesting that the PSU Participant is still either employed or retained as consultant within the company or another company within the company’s group or appointed as member of the board of directors on the vesting date. Subject to earlier vesting, upon the occurrence of certain exit events, for each award of PSUs 1/3 of such PSUs will vest on each anniversary of the date of grant, subject to continued service and subject to the fulfillment of the performance conditions as determined by our board of directors.</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All PSUs and any rights or payments in respect thereto will be subject to recoupment by the Company to the extent required to comply with applicable law or any policy of the Company providing for the reimbursement of incentive compensation.</w:t>
      </w:r>
    </w:p>
    <w:p>
      <w:pPr>
        <w:spacing w:after="0" w:line="16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On March 1, 2023, our board of directors granted an aggregate of 112,268 PSUs to certain members of senior management of the company under the terms of the PSU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Under the 2015 Registration Rights Agreement, we were required to timely register with the SEC 1.0 million ordinary shares underlying 1.0 million ADSs (the “Fidelity Shares”), purchased by Fidelity Securities Fund: Fidelity Series Small Cap Opportunities Fund—Healthcare Sub and Fidelity Stock Selector Small Cap Fund—Health Care Sub on December 14, 2015. In addition, the owners of the Fidelity Shares are entitled to registration of the Fidelity Shares on Form F-3. In accordance with our obligations under the 2015 Registration Rights Agreement, we filed a resale registration statement in February 2016 to register for resale the Fidelity Shares.</w:t>
      </w:r>
    </w:p>
    <w:p>
      <w:pPr>
        <w:spacing w:after="0" w:line="18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0"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auto"/>
        </w:rPr>
        <w:t>Under the 2015 Registration Rights Agreement, we agreed to pay certain registration expenses of the holders of the shares registered pursuant to the registration rights described above, excluding, among other things, the expenses of counsel for Fidelity Securities Fund: Fidelity Series Small Cap Opportunities Fund—Healthcare Sub and Fidelity Stock Selector Small Cap Fund—Health Care Sub.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0"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 register</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4" w:right="359" w:bottom="1440" w:gutter="0" w:footer="0" w:header="0"/>
        </w:sectPr>
      </w:pPr>
    </w:p>
    <w:bookmarkStart w:id="245" w:name="page246"/>
    <w:bookmarkEnd w:id="245"/>
    <w:p>
      <w:pPr>
        <w:ind w:right="140"/>
        <w:spacing w:after="0" w:line="257" w:lineRule="auto"/>
        <w:rPr>
          <w:sz w:val="20"/>
          <w:szCs w:val="20"/>
          <w:color w:val="auto"/>
        </w:rPr>
      </w:pPr>
      <w:r>
        <w:rPr>
          <w:rFonts w:ascii="Times New Roman" w:cs="Times New Roman" w:eastAsia="Times New Roman" w:hAnsi="Times New Roman"/>
          <w:sz w:val="18"/>
          <w:szCs w:val="18"/>
          <w:color w:val="auto"/>
        </w:rPr>
        <w:t>We are obligated to maintain an owners’ register (in Danish:</w:t>
      </w:r>
      <w:r>
        <w:rPr>
          <w:rFonts w:ascii="Times New Roman" w:cs="Times New Roman" w:eastAsia="Times New Roman" w:hAnsi="Times New Roman"/>
          <w:sz w:val="18"/>
          <w:szCs w:val="18"/>
          <w:i w:val="1"/>
          <w:iCs w:val="1"/>
          <w:color w:val="auto"/>
        </w:rPr>
        <w:t>ejerbog</w:t>
      </w:r>
      <w:r>
        <w:rPr>
          <w:rFonts w:ascii="Times New Roman" w:cs="Times New Roman" w:eastAsia="Times New Roman" w:hAnsi="Times New Roman"/>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and Danish corporate law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articles of association, the following should be emphasized: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clause</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provisions regarding the board of directors and the executive board</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2023 for a term expiring at the annual general meeting to be held in 2025; and a second class of directors ("Class II") who were elected at the annual general meeting held in 2022 for a term expiring at the annual general meeting to be held in 2024. Member of Class II Dr. Rafaèle Tordjman, M.D., Ph.D., resigned from the board of directors with effect as of November 29, 2023.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92"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7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246" w:name="page247"/>
    <w:bookmarkEnd w:id="246"/>
    <w:p>
      <w:pPr>
        <w:ind w:right="160"/>
        <w:spacing w:after="0" w:line="280" w:lineRule="auto"/>
        <w:rPr>
          <w:sz w:val="20"/>
          <w:szCs w:val="20"/>
          <w:color w:val="auto"/>
        </w:rPr>
      </w:pPr>
      <w:r>
        <w:rPr>
          <w:rFonts w:ascii="Times New Roman" w:cs="Times New Roman" w:eastAsia="Times New Roman" w:hAnsi="Times New Roman"/>
          <w:sz w:val="18"/>
          <w:szCs w:val="18"/>
          <w:color w:val="auto"/>
        </w:rPr>
        <w:t>capital requirements, financial condition and future prospects, applicable restrictions on the payment of dividends under Danish law and other factors that our board of directors may consider relevant.</w:t>
      </w:r>
    </w:p>
    <w:p>
      <w:pPr>
        <w:spacing w:after="0" w:line="16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Item 10 E. Additional Information—Taxation</w:t>
      </w:r>
      <w:r>
        <w:rPr>
          <w:rFonts w:ascii="Times New Roman" w:cs="Times New Roman" w:eastAsia="Times New Roman" w:hAnsi="Times New Roman"/>
          <w:sz w:val="18"/>
          <w:szCs w:val="18"/>
          <w:color w:val="auto"/>
        </w:rPr>
        <w:t>” in our Annual Report on Form 20-F for a summary of certain tax consequences in respect of dividends or distributions to holders of our ordinary shares or the ADSs.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subscription rights</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83"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future issuances of new shares and/or pre-emptive rights are registered under the Securities Act or with any authority outside Denmark,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shareholders in jurisdictions outside Denmark may be unable to exercise their pre-emptive subscription rights.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on liquidation</w:t>
      </w:r>
    </w:p>
    <w:p>
      <w:pPr>
        <w:spacing w:after="0" w:line="12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holding of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hold shares under the articles of association or Danish law.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to capital calls by us</w:t>
      </w:r>
    </w:p>
    <w:p>
      <w:pPr>
        <w:spacing w:after="0" w:line="1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Under our articles of association as well as the Danish Companies Act, our shareholders are not obligated to pay further amounts to us. All our shares are fully-paid.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or similar obligations relating to our ordinary shares.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requirements</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or 1/3 or 2/3 are reached or no longer reached. The notification shall be given within two weeks following the date when the limits are reached or are no longer reached.</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civil registration (CPR) number or central business (CVR) number, such notice must be accompanied by other documentation securing unambiguous identification of the shareholder. The notice must also include information on the denomination or nominal value of the shares and the voting rights attaching to the shares.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247" w:name="page248"/>
    <w:bookmarkEnd w:id="247"/>
    <w:p>
      <w:pPr>
        <w:spacing w:after="0" w:line="259" w:lineRule="auto"/>
        <w:rPr>
          <w:sz w:val="20"/>
          <w:szCs w:val="20"/>
          <w:color w:val="auto"/>
        </w:rPr>
      </w:pPr>
      <w:r>
        <w:rPr>
          <w:rFonts w:ascii="Times New Roman" w:cs="Times New Roman" w:eastAsia="Times New Roman" w:hAnsi="Times New Roman"/>
          <w:sz w:val="18"/>
          <w:szCs w:val="18"/>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status of the notification obligations is not fully clarified in relation to ADS holders and an ADS holder may be subject to such obligations.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is the highest authority in all matters, subject to the limitations provided by Danish law and the articles of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in the Greater Copenhagen area not later than the end of May in each year.</w:t>
      </w:r>
    </w:p>
    <w:p>
      <w:pPr>
        <w:spacing w:after="0" w:line="20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At the annual general meeting, the audited annual report is submitted for approval, together with the proposed appropriation of profit/treatment of loss, the election of the board of directors and election of our auditors. In addition, the board of directors reports on our activities during the past year.</w:t>
      </w:r>
    </w:p>
    <w:p>
      <w:pPr>
        <w:spacing w:after="0" w:line="16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75"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At the latest, two weeks before a general meeting (inclusive of the day of the general meeting), we shall make the following information and documents available on our webpage:</w:t>
      </w:r>
    </w:p>
    <w:p>
      <w:pPr>
        <w:spacing w:after="0" w:line="55" w:lineRule="exact"/>
        <w:rPr>
          <w:sz w:val="20"/>
          <w:szCs w:val="20"/>
          <w:color w:val="auto"/>
        </w:rPr>
      </w:pPr>
    </w:p>
    <w:p>
      <w:pPr>
        <w:ind w:left="1020" w:hanging="504"/>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notice,</w:t>
      </w:r>
    </w:p>
    <w:p>
      <w:pPr>
        <w:spacing w:after="0" w:line="115" w:lineRule="exact"/>
        <w:rPr>
          <w:rFonts w:ascii="Times New Roman" w:cs="Times New Roman" w:eastAsia="Times New Roman" w:hAnsi="Times New Roman"/>
          <w:sz w:val="18"/>
          <w:szCs w:val="18"/>
          <w:color w:val="auto"/>
        </w:rPr>
      </w:pPr>
    </w:p>
    <w:p>
      <w:pPr>
        <w:ind w:left="1020" w:right="100" w:hanging="504"/>
        <w:spacing w:after="0" w:line="280" w:lineRule="auto"/>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that shall be presented at the general meeting, which will, in the case of the annual general meeting, include the annual report,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and the complete proposals.</w:t>
      </w:r>
    </w:p>
    <w:p>
      <w:pPr>
        <w:spacing w:after="0" w:line="22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8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entitled to directly receive notices or other materials or to attend or vote at general meetings.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Resolutions in general meetings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48" w:name="page249"/>
    <w:bookmarkEnd w:id="248"/>
    <w:p>
      <w:pPr>
        <w:ind w:right="60"/>
        <w:spacing w:after="0" w:line="257" w:lineRule="auto"/>
        <w:rPr>
          <w:sz w:val="20"/>
          <w:szCs w:val="20"/>
          <w:color w:val="auto"/>
        </w:rPr>
      </w:pPr>
      <w:r>
        <w:rPr>
          <w:rFonts w:ascii="Times New Roman" w:cs="Times New Roman" w:eastAsia="Times New Roman" w:hAnsi="Times New Roman"/>
          <w:sz w:val="18"/>
          <w:szCs w:val="18"/>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0"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 out</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According to Section 70 of the Danish Companies Act, shares in a company may be redeemed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Danish rules intended to prevent market abuse</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abandoned our previous practice.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w:t>
      </w:r>
    </w:p>
    <w:p>
      <w:pPr>
        <w:spacing w:after="0" w:line="120"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the shareholders and to third parties for acting in violation of the articles of association and Danish law.</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8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8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49" w:name="page250"/>
    <w:bookmarkEnd w:id="249"/>
    <w:p>
      <w:pPr>
        <w:ind w:right="20"/>
        <w:spacing w:after="0" w:line="280" w:lineRule="auto"/>
        <w:rPr>
          <w:sz w:val="20"/>
          <w:szCs w:val="20"/>
          <w:color w:val="auto"/>
        </w:rPr>
      </w:pPr>
      <w:r>
        <w:rPr>
          <w:rFonts w:ascii="Times New Roman" w:cs="Times New Roman" w:eastAsia="Times New Roman" w:hAnsi="Times New Roman"/>
          <w:sz w:val="18"/>
          <w:szCs w:val="18"/>
          <w:color w:val="auto"/>
        </w:rPr>
        <w:t>provisions on recourse claims between an employee (including members of our senior management) and us, or because the agreement is deemed contrary to the general provisions of the Danish Contracts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Danish corporate law and our articles of association and Delaware corporate law</w:t>
      </w:r>
    </w:p>
    <w:p>
      <w:pPr>
        <w:spacing w:after="0" w:line="2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following comparison between Danish corporate law, which applies to us, and Delaware corporate law, the law under which many publicly traded companies in the United States are incorporated, discusses additional matters not otherwise described in our Annual Report on Form 20-F.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board members</w:t>
      </w:r>
    </w:p>
    <w:p>
      <w:pPr>
        <w:spacing w:after="0" w:line="118"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Public limited liability companies in Denmark are usually subject to a two-tier governance structure with the board of directors having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the members of our board of directors</w:t>
      </w:r>
    </w:p>
    <w:p>
      <w:pPr>
        <w:spacing w:after="0" w:line="11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members of the board of directors of a limited liability company are generally appointed for an individual term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general meeting, shareholders are entitled at all times to dismiss a board member by a simple majority vote.</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50" w:name="page251"/>
    <w:bookmarkEnd w:id="250"/>
    <w:p>
      <w:pPr>
        <w:ind w:right="80"/>
        <w:spacing w:after="0" w:line="259" w:lineRule="auto"/>
        <w:rPr>
          <w:sz w:val="20"/>
          <w:szCs w:val="20"/>
          <w:color w:val="auto"/>
        </w:rPr>
      </w:pPr>
      <w:r>
        <w:rPr>
          <w:rFonts w:ascii="Times New Roman" w:cs="Times New Roman" w:eastAsia="Times New Roman" w:hAnsi="Times New Roman"/>
          <w:sz w:val="18"/>
          <w:szCs w:val="18"/>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Ascendis Pharma GmbH, and Ascendis Pharma Endocrinology GmbH may only demand representation on our board of directors provided that our general meeting adopts a resolution to that effect.</w:t>
      </w:r>
    </w:p>
    <w:p>
      <w:pPr>
        <w:spacing w:after="0" w:line="18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member vacancies</w:t>
      </w:r>
    </w:p>
    <w:p>
      <w:pPr>
        <w:spacing w:after="0" w:line="11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in the event of a vacancy, new board members are elected by the shareholders in a general meeting. Thus, a general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to be convened to fill a vacancy on the board of directors. However, the board of directors may choose to wait to fill vacancies until the next annual general meeting of the company, provided that the remaining board members can still constitute a quorum. It is only a statutory requirement to convene a general meeting to fill vacancies if the number of remaining members on the board is less than three.</w:t>
      </w:r>
    </w:p>
    <w:p>
      <w:pPr>
        <w:spacing w:after="0" w:line="17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that vacancies and newly created directorships may be filled by a majority of the directors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Conflict-of-interest transactions</w:t>
      </w:r>
    </w:p>
    <w:p>
      <w:pPr>
        <w:spacing w:after="0" w:line="1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board members may not take part in any matter or decision-making that involves a subject or transaction in relation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member has a conflict of interest with us.</w:t>
      </w:r>
    </w:p>
    <w:p>
      <w:pPr>
        <w:spacing w:after="0" w:line="15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permits transactions involving a Delaware corporation and an interested director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if:</w:t>
      </w:r>
    </w:p>
    <w:p>
      <w:pPr>
        <w:spacing w:after="0" w:line="54" w:lineRule="exact"/>
        <w:rPr>
          <w:sz w:val="20"/>
          <w:szCs w:val="20"/>
          <w:color w:val="auto"/>
        </w:rPr>
      </w:pPr>
    </w:p>
    <w:p>
      <w:pPr>
        <w:ind w:left="1020" w:hanging="504"/>
        <w:spacing w:after="0"/>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15" w:lineRule="exact"/>
        <w:rPr>
          <w:rFonts w:ascii="Times New Roman" w:cs="Times New Roman" w:eastAsia="Times New Roman" w:hAnsi="Times New Roman"/>
          <w:sz w:val="18"/>
          <w:szCs w:val="18"/>
          <w:color w:val="auto"/>
        </w:rPr>
      </w:pPr>
    </w:p>
    <w:p>
      <w:pPr>
        <w:ind w:left="1020" w:right="420" w:hanging="504"/>
        <w:spacing w:after="0" w:line="280"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board members</w:t>
      </w:r>
    </w:p>
    <w:p>
      <w:pPr>
        <w:spacing w:after="0" w:line="11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In the event that a board member in a Danish limited liability company is unable to participate in a board meeting, the elected alternate,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meeting</w:t>
      </w:r>
    </w:p>
    <w:p>
      <w:pPr>
        <w:spacing w:after="0" w:line="11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general meetings in limited liability companies shall be convened by the board of directors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Delaware law, unless otherwise provided in the certificate of incorporation or bylaws, written notice of any meeting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given to each stockholder entitled to vote at the meeting not less than ten nor more than 60 days before the date of the meeting and shall specify the place, date, hour, and purpose or purposes of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Each ordinary share confers the right to cast one vote at the general meeting of shareholders, unless the articles of association provide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of ordinary shares may cast as many votes as it holds shares. Shares that are held by the company or its subsidiaries do not confer the right to vote.</w:t>
      </w:r>
    </w:p>
    <w:p>
      <w:pPr>
        <w:spacing w:after="0" w:line="1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extraordinary general meetings of shareholders will be held whenever the board of directors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1"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of stockholders.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permissible for shareholders to take action and pass resolutions by written consent in the event of unanimity;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will normally not be the case in listed companies and for a listed company, this method of adopting resolutions is generally not feasible.</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The concept of appraisal rights does not exist under Danish law, except in connection with statutory redemptions rights according to the Danish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6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or cross-border conversion are, according to Sections 286, 306 and 318 m of the Danish Companies Act, entitled to have their shares redeemed.</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fair value of the stockholder’s shares, in connection with certain mergers and consolidations.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only a company itself can bring a civil action against a third party; an individual shareholder does not have the right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Danish limited liability companies may not subscribe for newly issued shares in their own capital. Such company may, however, according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purchase or redeem its own shares unless the capital of the corporation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the purchase or redemption would cause an impairment of the capital of the corporation. A Delaware corporation may, however, purchase or redeem out of capital any of its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53" w:name="page254"/>
    <w:bookmarkEnd w:id="253"/>
    <w:p>
      <w:pPr>
        <w:ind w:right="640"/>
        <w:spacing w:after="0" w:line="280" w:lineRule="auto"/>
        <w:rPr>
          <w:sz w:val="20"/>
          <w:szCs w:val="20"/>
          <w:color w:val="auto"/>
        </w:rPr>
      </w:pPr>
      <w:r>
        <w:rPr>
          <w:rFonts w:ascii="Times New Roman" w:cs="Times New Roman" w:eastAsia="Times New Roman" w:hAnsi="Times New Roman"/>
          <w:sz w:val="18"/>
          <w:szCs w:val="18"/>
          <w:color w:val="auto"/>
        </w:rPr>
        <w:t>preferred shares or, if no preferred shares are outstanding, any of its own shares if such shares will be retired upon acquisition and the capital of the corporation will be reduced in accordance with specified limitations.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1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possible to implement limited protective anti-takeover measures. Such provisions may include, among other things,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share classes with different voting rights, (ii) specific requirements to register the shares named in the company’s owners register and (iii) notification requirements concerning participation in general meetings. We have currently not adopted any such provisions.</w:t>
      </w:r>
    </w:p>
    <w:p>
      <w:pPr>
        <w:spacing w:after="0" w:line="17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8" w:lineRule="exact"/>
        <w:rPr>
          <w:sz w:val="20"/>
          <w:szCs w:val="20"/>
          <w:color w:val="auto"/>
        </w:rPr>
      </w:pPr>
    </w:p>
    <w:p>
      <w:pPr>
        <w:ind w:left="1020" w:right="200" w:hanging="504"/>
        <w:spacing w:after="0" w:line="280"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w:t>
      </w:r>
    </w:p>
    <w:p>
      <w:pPr>
        <w:spacing w:after="0" w:line="55"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7" w:lineRule="exact"/>
        <w:rPr>
          <w:rFonts w:ascii="Times New Roman" w:cs="Times New Roman" w:eastAsia="Times New Roman" w:hAnsi="Times New Roman"/>
          <w:sz w:val="18"/>
          <w:szCs w:val="18"/>
          <w:color w:val="auto"/>
        </w:rPr>
      </w:pPr>
    </w:p>
    <w:p>
      <w:pPr>
        <w:ind w:left="1020" w:right="340" w:hanging="504"/>
        <w:spacing w:after="0" w:line="280"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1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Section 150 of the Danish Companies Act, a shareholder may request an inspection of the company’s books regarding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certain of the corporation’s books and records, for any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during the corporation’s usual hours of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shareholders have pre-emptive subscription rights in connection with capital increases that are carried out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t>existing shareholders pursuant to the authorizations described above under the caption “Authorizations to our board of directors.”</w:t>
      </w:r>
    </w:p>
    <w:p>
      <w:pPr>
        <w:spacing w:after="0" w:line="22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6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such stock unless, and to the extent that, such rights are expressly provided for in the certificate of incorporation.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distribution of ordinary and extraordinary dividends requires the approval of a company’s shareholders at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Under the Danish Companies Act t</w:t>
      </w:r>
      <w:r>
        <w:rPr>
          <w:rFonts w:ascii="Times New Roman" w:cs="Times New Roman" w:eastAsia="Times New Roman" w:hAnsi="Times New Roman"/>
          <w:sz w:val="17"/>
          <w:szCs w:val="17"/>
          <w:color w:val="auto"/>
        </w:rPr>
        <w:t>he general meeting may authorise the board of directors to resolve to distribute extraordinary dividends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1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Delaware corporation may pay dividends out of its surplus (the excess of net assets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1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amendments to the articles of association shall be approved by the general meeting of shareholders with a minimum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18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55" w:name="page256"/>
    <w:bookmarkEnd w:id="255"/>
    <w:p>
      <w:pPr>
        <w:ind w:right="220"/>
        <w:spacing w:after="0" w:line="265" w:lineRule="auto"/>
        <w:rPr>
          <w:sz w:val="20"/>
          <w:szCs w:val="20"/>
          <w:color w:val="auto"/>
        </w:rPr>
      </w:pPr>
      <w:r>
        <w:rPr>
          <w:rFonts w:ascii="Times New Roman" w:cs="Times New Roman" w:eastAsia="Times New Roman" w:hAnsi="Times New Roman"/>
          <w:sz w:val="18"/>
          <w:szCs w:val="18"/>
          <w:color w:val="auto"/>
        </w:rPr>
        <w:t>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governing documents</w:t>
      </w:r>
    </w:p>
    <w:p>
      <w:pPr>
        <w:spacing w:after="0" w:line="1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All resolutions made by the general meeting may be adopted by a simple majority of the votes, subject only to the mandatory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8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i w:val="1"/>
          <w:iCs w:val="1"/>
          <w:color w:val="auto"/>
        </w:rPr>
        <w:t>Delaware</w:t>
      </w:r>
      <w:r>
        <w:rPr>
          <w:rFonts w:ascii="Times New Roman" w:cs="Times New Roman" w:eastAsia="Times New Roman" w:hAnsi="Times New Roman"/>
          <w:sz w:val="17"/>
          <w:szCs w:val="17"/>
          <w:color w:val="auto"/>
        </w:rPr>
        <w:t>. Under the Delaware General Corporation Law, a corporation’s certificate of incorporation may be amended only if adopted and declared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12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The depositary for the ADSs is The Bank of New York Mellon. The Bank of New York Mellon’s depositary office and its principal executive office are located at 240 Greenwich Street, New York, New York 10286.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2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The Bank of New York Mellon, as depositary, registers and delivers the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also referred to as an ADR, which is a certificate evidencing a specific number of ADSs, registered in your name, or (b) by having ADSs registered in your name in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w:t>
      </w:r>
    </w:p>
    <w:p>
      <w:pPr>
        <w:spacing w:after="0" w:line="1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our Annual Report on Form 20-F. New York law governs the deposit agreement and the ADSs.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52" w:right="399" w:bottom="1440" w:gutter="0" w:footer="0" w:header="0"/>
        </w:sectPr>
      </w:pPr>
    </w:p>
    <w:bookmarkStart w:id="256" w:name="page257"/>
    <w:bookmarkEnd w:id="256"/>
    <w:p>
      <w:pPr>
        <w:ind w:right="500"/>
        <w:spacing w:after="0" w:line="265"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ADS. For directions on how to obtain copies of those documents, see the section titled “Item 19—Exhibits” in our Annual Report on Form 20-F.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ordinary shares?</w:t>
      </w:r>
    </w:p>
    <w:p>
      <w:pPr>
        <w:spacing w:after="0" w:line="12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Cash</w:t>
      </w:r>
      <w:r>
        <w:rPr>
          <w:rFonts w:ascii="Times New Roman" w:cs="Times New Roman" w:eastAsia="Times New Roman" w:hAnsi="Times New Roman"/>
          <w:sz w:val="17"/>
          <w:szCs w:val="17"/>
          <w:color w:val="auto"/>
        </w:rPr>
        <w:t>. We do not expect to declare or pay any cash dividends or cash distributions on our ordinary shares for the foreseeable future. The depositary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Times New Roman" w:cs="Times New Roman" w:eastAsia="Times New Roman" w:hAnsi="Times New Roman"/>
          <w:sz w:val="17"/>
          <w:szCs w:val="17"/>
          <w:i w:val="1"/>
          <w:iCs w:val="1"/>
          <w:color w:val="auto"/>
        </w:rPr>
        <w:t>Item 10 E. Additional Information—Taxation</w:t>
      </w:r>
      <w:r>
        <w:rPr>
          <w:rFonts w:ascii="Times New Roman" w:cs="Times New Roman" w:eastAsia="Times New Roman" w:hAnsi="Times New Roman"/>
          <w:sz w:val="17"/>
          <w:szCs w:val="17"/>
          <w:color w:val="auto"/>
        </w:rPr>
        <w:t>” in our Annual Report on Form 20-F for a summary of certain tax consequences in respect of dividends or 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77"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The depositary may distribute additional ADSs representing any ordinary shares we distribute as a dividend or free distribution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Elective Distributions in Cash or Shares</w:t>
      </w:r>
      <w:r>
        <w:rPr>
          <w:rFonts w:ascii="Times New Roman" w:cs="Times New Roman" w:eastAsia="Times New Roman" w:hAnsi="Times New Roman"/>
          <w:sz w:val="18"/>
          <w:szCs w:val="18"/>
          <w:color w:val="auto"/>
        </w:rPr>
        <w:t>. If we offer holders of our ordinary shares the option to receive dividends in either cash or shares,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Rights to Purchase Additional Ordinary Shares</w:t>
      </w:r>
      <w:r>
        <w:rPr>
          <w:rFonts w:ascii="Times New Roman" w:cs="Times New Roman" w:eastAsia="Times New Roman" w:hAnsi="Times New Roman"/>
          <w:sz w:val="18"/>
          <w:szCs w:val="18"/>
          <w:color w:val="auto"/>
        </w:rPr>
        <w:t>. If we offer holders of our securities any rights to subscribe for additional ordinary shares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distributions. The depositary will allow rights that are not distributed or sold to lapse. In that case, you will receive no value for them.</w:t>
      </w:r>
    </w:p>
    <w:p>
      <w:pPr>
        <w:spacing w:after="0" w:line="18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w:t>
      </w:r>
    </w:p>
    <w:p>
      <w:pPr>
        <w:spacing w:after="0" w:line="175"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U.S. securities laws may restrict transfers and cancellation of the ADSs representing ordinary shares purchased upon exercise of rights. For example, you may not be able to trade these ADSs freely in the United States. In this case,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57" w:name="page258"/>
    <w:bookmarkEnd w:id="257"/>
    <w:p>
      <w:pPr>
        <w:ind w:right="380"/>
        <w:spacing w:after="0" w:line="280" w:lineRule="auto"/>
        <w:rPr>
          <w:sz w:val="20"/>
          <w:szCs w:val="20"/>
          <w:color w:val="auto"/>
        </w:rPr>
      </w:pPr>
      <w:r>
        <w:rPr>
          <w:rFonts w:ascii="Times New Roman" w:cs="Times New Roman" w:eastAsia="Times New Roman" w:hAnsi="Times New Roman"/>
          <w:sz w:val="18"/>
          <w:szCs w:val="18"/>
          <w:color w:val="auto"/>
        </w:rPr>
        <w:t>depositary may deliver restricted depositary shares that have the same terms as the ADSs described in this section except for changes needed to put the necessary restrictions in place.</w:t>
      </w:r>
    </w:p>
    <w:p>
      <w:pPr>
        <w:spacing w:after="0" w:line="16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The depositary will send to you anything else we distribute to holders of deposited securities by any means it determines is equitable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practicable. If it cannot make the distribution proportionally among the owners, the depositary may adopt another equitable and practical method. It may decide to sell what we distributed and distribute the net proceeds, in the same way as it does with cash. Or, it may decide to hold what we distributed, in which case ADSs will also represent the newly distributed property.</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w:t>
      </w:r>
    </w:p>
    <w:p>
      <w:pPr>
        <w:spacing w:after="0" w:line="17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2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2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interchange between certificated ADSs and uncertificated ADSs?</w:t>
      </w:r>
    </w:p>
    <w:p>
      <w:pPr>
        <w:spacing w:after="0" w:line="1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2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You may instruct the depositary to vote the number of whole deposited ordinary shares your ADSs represent. The depositary will notify you of shareholders’ meetings or other solicitations of consents and arrange to deliver our voting materials to you if we ask it to. Those materials will describe the matters to be voted on and explain how you may instruct the depositary how to vote. For instructions to be valid, they must reach the depositary by a date set by the depositary.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58" w:name="page259"/>
    <w:bookmarkEnd w:id="258"/>
    <w:p>
      <w:pPr>
        <w:ind w:right="120"/>
        <w:spacing w:after="0" w:line="280" w:lineRule="auto"/>
        <w:rPr>
          <w:sz w:val="20"/>
          <w:szCs w:val="20"/>
          <w:color w:val="auto"/>
        </w:rPr>
      </w:pPr>
      <w:r>
        <w:rPr>
          <w:rFonts w:ascii="Times New Roman" w:cs="Times New Roman" w:eastAsia="Times New Roman" w:hAnsi="Times New Roman"/>
          <w:sz w:val="18"/>
          <w:szCs w:val="18"/>
          <w:color w:val="auto"/>
        </w:rPr>
        <w:t>The depositary will try, as far as practical, and subject to the laws of Denmark and our articles of association, to vote or to have its agents vote the ordinary shares or other deposited securities as instructed by ADS holders.</w:t>
      </w:r>
    </w:p>
    <w:p>
      <w:pPr>
        <w:spacing w:after="0" w:line="1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w:t>
      </w:r>
    </w:p>
    <w:p>
      <w:pPr>
        <w:spacing w:after="0" w:line="18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provided that any such failure is in good faith. This means that you may not be able to exercise your right to vote and there may be nothing you can do if your ordinary shares are not voted as you requested.</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w:t>
      </w:r>
    </w:p>
    <w:p>
      <w:pPr>
        <w:spacing w:after="0" w:line="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Except as described above, you will not be able to exercise your right to vote unless you withdraw the ordinary shares. However, you may not know about the shareholder meeting far enough in advance to withdraw the ordinary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you be responsible for paying?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deposit agreement, the holders of ADSs will be required to pay the following fees:</w:t>
      </w:r>
    </w:p>
    <w:p>
      <w:pPr>
        <w:sectPr>
          <w:pgSz w:w="11900" w:h="16838" w:orient="portrait"/>
          <w:cols w:equalWidth="0" w:num="1">
            <w:col w:w="11240"/>
          </w:cols>
          <w:pgMar w:left="320" w:top="552" w:right="339" w:bottom="1440" w:gutter="0" w:footer="0" w:header="0"/>
        </w:sectPr>
      </w:pPr>
    </w:p>
    <w:p>
      <w:pPr>
        <w:spacing w:after="0" w:line="341" w:lineRule="exact"/>
        <w:rPr>
          <w:sz w:val="20"/>
          <w:szCs w:val="20"/>
          <w:color w:val="auto"/>
        </w:rPr>
      </w:pPr>
    </w:p>
    <w:p>
      <w:pPr>
        <w:jc w:val="both"/>
        <w:ind w:left="120" w:right="280"/>
        <w:spacing w:after="0" w:line="285" w:lineRule="auto"/>
        <w:rPr>
          <w:sz w:val="20"/>
          <w:szCs w:val="20"/>
          <w:color w:val="auto"/>
        </w:rPr>
      </w:pPr>
      <w:r>
        <w:rPr>
          <w:rFonts w:ascii="Times New Roman" w:cs="Times New Roman" w:eastAsia="Times New Roman" w:hAnsi="Times New Roman"/>
          <w:sz w:val="18"/>
          <w:szCs w:val="18"/>
          <w:b w:val="1"/>
          <w:bCs w:val="1"/>
          <w:color w:val="auto"/>
        </w:rPr>
        <w:t>Persons depositing or withdrawing ordinary shares or For: ADSs must pay: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358" w:lineRule="exact"/>
        <w:rPr>
          <w:sz w:val="20"/>
          <w:szCs w:val="20"/>
          <w:color w:val="auto"/>
        </w:rPr>
      </w:pPr>
    </w:p>
    <w:p>
      <w:pPr>
        <w:jc w:val="both"/>
        <w:ind w:left="120" w:right="260"/>
        <w:spacing w:after="0" w:line="259"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ordinary shares and the shares had been deposited for issue of ADSs</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 per calendar year</w:t>
      </w: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235" w:right="240" w:hanging="235"/>
        <w:spacing w:after="0" w:line="280" w:lineRule="auto"/>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ADSs, including issues resulting from a distribution of ordinary shares or rights or other property</w:t>
      </w:r>
    </w:p>
    <w:p>
      <w:pPr>
        <w:spacing w:after="0" w:line="55" w:lineRule="exact"/>
        <w:rPr>
          <w:rFonts w:ascii="Times New Roman" w:cs="Times New Roman" w:eastAsia="Times New Roman" w:hAnsi="Times New Roman"/>
          <w:sz w:val="18"/>
          <w:szCs w:val="18"/>
          <w:color w:val="auto"/>
        </w:rPr>
      </w:pPr>
    </w:p>
    <w:p>
      <w:pPr>
        <w:ind w:left="235" w:right="240" w:hanging="235"/>
        <w:spacing w:after="0" w:line="280" w:lineRule="auto"/>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82" w:lineRule="exact"/>
        <w:rPr>
          <w:rFonts w:ascii="Times New Roman" w:cs="Times New Roman" w:eastAsia="Times New Roman" w:hAnsi="Times New Roman"/>
          <w:sz w:val="18"/>
          <w:szCs w:val="18"/>
          <w:color w:val="auto"/>
        </w:rPr>
      </w:pPr>
    </w:p>
    <w:p>
      <w:pPr>
        <w:ind w:left="235" w:hanging="235"/>
        <w:spacing w:after="0"/>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you</w:t>
      </w:r>
    </w:p>
    <w:p>
      <w:pPr>
        <w:spacing w:after="0" w:line="142" w:lineRule="exact"/>
        <w:rPr>
          <w:rFonts w:ascii="Times New Roman" w:cs="Times New Roman" w:eastAsia="Times New Roman" w:hAnsi="Times New Roman"/>
          <w:sz w:val="18"/>
          <w:szCs w:val="18"/>
          <w:color w:val="auto"/>
        </w:rPr>
      </w:pPr>
    </w:p>
    <w:p>
      <w:pPr>
        <w:ind w:left="235" w:right="240" w:hanging="235"/>
        <w:spacing w:after="0" w:line="280" w:lineRule="auto"/>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you</w:t>
      </w:r>
    </w:p>
    <w:p>
      <w:pPr>
        <w:spacing w:after="0" w:line="82" w:lineRule="exact"/>
        <w:rPr>
          <w:rFonts w:ascii="Times New Roman" w:cs="Times New Roman" w:eastAsia="Times New Roman" w:hAnsi="Times New Roman"/>
          <w:sz w:val="18"/>
          <w:szCs w:val="18"/>
          <w:color w:val="auto"/>
        </w:rPr>
      </w:pPr>
    </w:p>
    <w:p>
      <w:pPr>
        <w:ind w:left="235" w:hanging="235"/>
        <w:spacing w:after="0"/>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 Depositary services</w:t>
      </w: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jc w:val="both"/>
        <w:ind w:left="235" w:right="220" w:hanging="235"/>
        <w:spacing w:after="0" w:line="265" w:lineRule="auto"/>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ordinary shares on our share register to or from the name of the depositary or its agent when you deposit or withdraw shares</w:t>
      </w:r>
    </w:p>
    <w:p>
      <w:pPr>
        <w:spacing w:after="0" w:line="94" w:lineRule="exact"/>
        <w:rPr>
          <w:rFonts w:ascii="Times New Roman" w:cs="Times New Roman" w:eastAsia="Times New Roman" w:hAnsi="Times New Roman"/>
          <w:sz w:val="18"/>
          <w:szCs w:val="18"/>
          <w:color w:val="auto"/>
        </w:rPr>
      </w:pPr>
    </w:p>
    <w:p>
      <w:pPr>
        <w:ind w:left="235" w:right="220" w:hanging="235"/>
        <w:spacing w:after="0" w:line="280" w:lineRule="auto"/>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transmissions (when expressly provided in the deposit agreement)</w:t>
      </w:r>
    </w:p>
    <w:p>
      <w:pPr>
        <w:spacing w:after="0" w:line="82" w:lineRule="exact"/>
        <w:rPr>
          <w:rFonts w:ascii="Times New Roman" w:cs="Times New Roman" w:eastAsia="Times New Roman" w:hAnsi="Times New Roman"/>
          <w:sz w:val="18"/>
          <w:szCs w:val="18"/>
          <w:color w:val="auto"/>
        </w:rPr>
      </w:pPr>
    </w:p>
    <w:p>
      <w:pPr>
        <w:ind w:left="235" w:hanging="235"/>
        <w:spacing w:after="0"/>
        <w:tabs>
          <w:tab w:leader="none" w:pos="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ectPr>
          <w:pgSz w:w="11900" w:h="16838" w:orient="portrait"/>
          <w:cols w:equalWidth="0" w:num="2">
            <w:col w:w="5720" w:space="385"/>
            <w:col w:w="5135"/>
          </w:cols>
          <w:pgMar w:left="320" w:top="552" w:right="339" w:bottom="1440" w:gutter="0" w:footer="0" w:header="0"/>
          <w:type w:val="continuous"/>
        </w:sectPr>
      </w:pPr>
    </w:p>
    <w:bookmarkStart w:id="259" w:name="page260"/>
    <w:bookmarkEnd w:id="259"/>
    <w:p>
      <w:pPr>
        <w:jc w:val="both"/>
        <w:ind w:left="120"/>
        <w:spacing w:after="0" w:line="259"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 or share underlying an ADS, for example, share transfer taxes, stamp duty or withholding taxes</w:t>
      </w:r>
    </w:p>
    <w:p>
      <w:pPr>
        <w:spacing w:after="0" w:line="3" w:lineRule="exact"/>
        <w:rPr>
          <w:sz w:val="20"/>
          <w:szCs w:val="20"/>
          <w:color w:val="auto"/>
        </w:rPr>
      </w:pPr>
    </w:p>
    <w:p>
      <w:pPr>
        <w:jc w:val="both"/>
        <w:ind w:left="120"/>
        <w:spacing w:after="0" w:line="280"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35" w:hanging="235"/>
        <w:spacing w:after="0"/>
        <w:tabs>
          <w:tab w:leader="none" w:pos="235"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necessary</w:t>
      </w:r>
    </w:p>
    <w:p>
      <w:pPr>
        <w:spacing w:after="0" w:line="200" w:lineRule="exact"/>
        <w:rPr>
          <w:rFonts w:ascii="Times New Roman" w:cs="Times New Roman" w:eastAsia="Times New Roman" w:hAnsi="Times New Roman"/>
          <w:sz w:val="17"/>
          <w:szCs w:val="17"/>
          <w:color w:val="auto"/>
        </w:rPr>
      </w:pPr>
    </w:p>
    <w:p>
      <w:pPr>
        <w:spacing w:after="0" w:line="277" w:lineRule="exact"/>
        <w:rPr>
          <w:rFonts w:ascii="Times New Roman" w:cs="Times New Roman" w:eastAsia="Times New Roman" w:hAnsi="Times New Roman"/>
          <w:sz w:val="17"/>
          <w:szCs w:val="17"/>
          <w:color w:val="auto"/>
        </w:rPr>
      </w:pPr>
    </w:p>
    <w:p>
      <w:pPr>
        <w:ind w:left="235" w:hanging="235"/>
        <w:spacing w:after="0"/>
        <w:tabs>
          <w:tab w:leader="none" w:pos="235"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necessary</w:t>
      </w:r>
    </w:p>
    <w:p>
      <w:pPr>
        <w:spacing w:after="0" w:line="355" w:lineRule="exact"/>
        <w:rPr>
          <w:sz w:val="20"/>
          <w:szCs w:val="20"/>
          <w:color w:val="auto"/>
        </w:rPr>
      </w:pPr>
    </w:p>
    <w:p>
      <w:pPr>
        <w:sectPr>
          <w:pgSz w:w="11900" w:h="16838" w:orient="portrait"/>
          <w:cols w:equalWidth="0" w:num="2">
            <w:col w:w="5460" w:space="645"/>
            <w:col w:w="5075"/>
          </w:cols>
          <w:pgMar w:left="320" w:top="350" w:right="399" w:bottom="1440" w:gutter="0" w:footer="0" w:header="0"/>
        </w:sect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8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sectPr>
          <w:pgSz w:w="11900" w:h="16838" w:orient="portrait"/>
          <w:cols w:equalWidth="0" w:num="1">
            <w:col w:w="11180"/>
          </w:cols>
          <w:pgMar w:left="320" w:top="350" w:right="39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w:t>
      </w:r>
    </w:p>
    <w:p>
      <w:pPr>
        <w:spacing w:after="0" w:line="147" w:lineRule="exact"/>
        <w:rPr>
          <w:sz w:val="20"/>
          <w:szCs w:val="20"/>
          <w:color w:val="auto"/>
        </w:rPr>
      </w:pPr>
    </w:p>
    <w:p>
      <w:pPr>
        <w:ind w:left="720" w:right="20" w:hanging="171"/>
        <w:spacing w:after="0" w:line="280" w:lineRule="auto"/>
        <w:tabs>
          <w:tab w:leader="none" w:pos="7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nominal or par value of our ordinary shares</w:t>
      </w:r>
    </w:p>
    <w:p>
      <w:pPr>
        <w:spacing w:after="0" w:line="82" w:lineRule="exact"/>
        <w:rPr>
          <w:rFonts w:ascii="Times New Roman" w:cs="Times New Roman" w:eastAsia="Times New Roman" w:hAnsi="Times New Roman"/>
          <w:sz w:val="18"/>
          <w:szCs w:val="18"/>
          <w:color w:val="auto"/>
        </w:rPr>
      </w:pPr>
    </w:p>
    <w:p>
      <w:pPr>
        <w:ind w:left="720" w:hanging="171"/>
        <w:spacing w:after="0" w:line="280" w:lineRule="auto"/>
        <w:tabs>
          <w:tab w:leader="none" w:pos="7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 Reclassify, split up or consolidate any of the deposited securities</w:t>
      </w:r>
    </w:p>
    <w:p>
      <w:pPr>
        <w:spacing w:after="0" w:line="82" w:lineRule="exact"/>
        <w:rPr>
          <w:rFonts w:ascii="Times New Roman" w:cs="Times New Roman" w:eastAsia="Times New Roman" w:hAnsi="Times New Roman"/>
          <w:sz w:val="18"/>
          <w:szCs w:val="18"/>
          <w:color w:val="auto"/>
        </w:rPr>
      </w:pPr>
    </w:p>
    <w:p>
      <w:pPr>
        <w:ind w:left="720" w:right="20" w:hanging="171"/>
        <w:spacing w:after="0" w:line="280" w:lineRule="auto"/>
        <w:tabs>
          <w:tab w:leader="none" w:pos="7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securities on the ordinary shares that are not distributed to you</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both"/>
        <w:ind w:left="720" w:right="20" w:hanging="171"/>
        <w:spacing w:after="0" w:line="265" w:lineRule="auto"/>
        <w:tabs>
          <w:tab w:leader="none" w:pos="7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Then:</w:t>
      </w:r>
    </w:p>
    <w:p>
      <w:pPr>
        <w:spacing w:after="0" w:line="14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The cash, ordinary shares or other securities received by the depositary will become deposited securities.</w:t>
      </w:r>
    </w:p>
    <w:p>
      <w:pPr>
        <w:spacing w:after="0"/>
        <w:rPr>
          <w:sz w:val="20"/>
          <w:szCs w:val="20"/>
          <w:color w:val="auto"/>
        </w:rPr>
      </w:pPr>
      <w:r>
        <w:rPr>
          <w:rFonts w:ascii="Times New Roman" w:cs="Times New Roman" w:eastAsia="Times New Roman" w:hAnsi="Times New Roman"/>
          <w:sz w:val="18"/>
          <w:szCs w:val="18"/>
          <w:color w:val="auto"/>
        </w:rPr>
        <w:t>Each ADS will automatically represent its equal share of the new deposited securities.</w:t>
      </w:r>
    </w:p>
    <w:p>
      <w:pPr>
        <w:spacing w:after="0" w:line="358"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p>
      <w:pPr>
        <w:spacing w:after="0" w:line="3"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p>
      <w:pPr>
        <w:spacing w:after="0" w:line="200" w:lineRule="exact"/>
        <w:rPr>
          <w:sz w:val="20"/>
          <w:szCs w:val="20"/>
          <w:color w:val="auto"/>
        </w:rPr>
      </w:pPr>
    </w:p>
    <w:p>
      <w:pPr>
        <w:sectPr>
          <w:pgSz w:w="11900" w:h="16838" w:orient="portrait"/>
          <w:cols w:equalWidth="0" w:num="2">
            <w:col w:w="4300" w:space="200"/>
            <w:col w:w="6680"/>
          </w:cols>
          <w:pgMar w:left="320" w:top="350" w:right="399" w:bottom="1440" w:gutter="0" w:footer="0" w:header="0"/>
          <w:type w:val="continuous"/>
        </w:sect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50" w:right="399" w:bottom="1440" w:gutter="0" w:footer="0" w:header="0"/>
          <w:type w:val="continuous"/>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12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55" w:lineRule="exact"/>
        <w:rPr>
          <w:sz w:val="20"/>
          <w:szCs w:val="20"/>
          <w:color w:val="auto"/>
        </w:rPr>
      </w:pPr>
    </w:p>
    <w:p>
      <w:pPr>
        <w:ind w:left="1020" w:hanging="504"/>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is prevented or delayed by law or circumstances beyond our control from performing our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ligations under the deposit agreement;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exercises, or fails to exercise, discretion permitted under the deposit agreement;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80" w:lineRule="auto"/>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to holders of ADSs under the terms of the deposit agreement, or for any special, consequential or punitive damages for any breach of the terms of the deposit agreement;</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tax consequences to any holders of ADSs on account of their ownership of ADSs;</w:t>
      </w:r>
    </w:p>
    <w:p>
      <w:pPr>
        <w:spacing w:after="0" w:line="115" w:lineRule="exact"/>
        <w:rPr>
          <w:rFonts w:ascii="Times New Roman" w:cs="Times New Roman" w:eastAsia="Times New Roman" w:hAnsi="Times New Roman"/>
          <w:sz w:val="18"/>
          <w:szCs w:val="18"/>
          <w:color w:val="auto"/>
        </w:rPr>
      </w:pPr>
    </w:p>
    <w:p>
      <w:pPr>
        <w:ind w:left="1020" w:right="320" w:hanging="504"/>
        <w:spacing w:after="0" w:line="280" w:lineRule="auto"/>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61" w:name="page262"/>
    <w:bookmarkEnd w:id="261"/>
    <w:p>
      <w:pPr>
        <w:ind w:left="1020" w:hanging="504"/>
        <w:spacing w:after="0"/>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person.</w:t>
      </w:r>
    </w:p>
    <w:p>
      <w:pPr>
        <w:spacing w:after="0" w:line="2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2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an ADS, make a distribution on an ADS, or permit withdrawal of ordinary shares, the depositary may require:</w:t>
      </w:r>
    </w:p>
    <w:p>
      <w:pPr>
        <w:spacing w:after="0" w:line="55" w:lineRule="exact"/>
        <w:rPr>
          <w:sz w:val="20"/>
          <w:szCs w:val="20"/>
          <w:color w:val="auto"/>
        </w:rPr>
      </w:pPr>
    </w:p>
    <w:p>
      <w:pPr>
        <w:ind w:left="1020" w:hanging="504"/>
        <w:spacing w:after="0" w:line="280" w:lineRule="auto"/>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share transfer or other taxes or other governmental charges and transfer or registration fees charged by third parties for the transfer of any ordinary shares or other deposited securities;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15" w:lineRule="exact"/>
        <w:rPr>
          <w:rFonts w:ascii="Times New Roman" w:cs="Times New Roman" w:eastAsia="Times New Roman" w:hAnsi="Times New Roman"/>
          <w:sz w:val="18"/>
          <w:szCs w:val="18"/>
          <w:color w:val="auto"/>
        </w:rPr>
      </w:pPr>
    </w:p>
    <w:p>
      <w:pPr>
        <w:ind w:left="1020" w:right="400" w:hanging="504"/>
        <w:spacing w:after="0" w:line="280" w:lineRule="auto"/>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generally when the transfer books of the depositary or our transfer books are closed or at any time if the depositary or we think it advisable to do so.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Right to Receive the Ordinary Shares Underlying Your ADSs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ordinary shares at any time except:</w:t>
      </w:r>
    </w:p>
    <w:p>
      <w:pPr>
        <w:spacing w:after="0" w:line="116" w:lineRule="exact"/>
        <w:rPr>
          <w:sz w:val="20"/>
          <w:szCs w:val="20"/>
          <w:color w:val="auto"/>
        </w:rPr>
      </w:pPr>
    </w:p>
    <w:p>
      <w:pPr>
        <w:ind w:left="1020" w:right="80" w:hanging="504"/>
        <w:spacing w:after="0" w:line="280" w:lineRule="auto"/>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and</w:t>
      </w:r>
    </w:p>
    <w:p>
      <w:pPr>
        <w:spacing w:after="0" w:line="115" w:lineRule="exact"/>
        <w:rPr>
          <w:rFonts w:ascii="Times New Roman" w:cs="Times New Roman" w:eastAsia="Times New Roman" w:hAnsi="Times New Roman"/>
          <w:sz w:val="18"/>
          <w:szCs w:val="18"/>
          <w:color w:val="auto"/>
        </w:rPr>
      </w:pPr>
    </w:p>
    <w:p>
      <w:pPr>
        <w:ind w:left="1020" w:right="520" w:hanging="504"/>
        <w:spacing w:after="0" w:line="280" w:lineRule="auto"/>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of withdrawal is not limited by any other provision of the deposit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8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 ADS Holder Information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62" w:name="page263"/>
    <w:bookmarkEnd w:id="262"/>
    <w:p>
      <w:pPr>
        <w:spacing w:after="0" w:line="265"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44" w:right="37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right="200" w:hanging="96"/>
        <w:spacing w:after="0" w:line="265" w:lineRule="auto"/>
        <w:tabs>
          <w:tab w:leader="none" w:pos="72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INFORMATION IN THIS EXHIBIT HAS BEEN OMITTED PURSUANT TO REGULATION S-K, ITEM 601(B)(10). THE REGISTRANT CUSTOMARILY AND ACTUALLY TREATS SUCH OMITTED INFORMATION AS</w:t>
      </w:r>
    </w:p>
    <w:p>
      <w:pPr>
        <w:ind w:left="1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PRIVATE OR CONFIDENTIAL, AND SUCH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Revenue Participation Right</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Purchase and Sale Agreement</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By and Between</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Ascendis Pharma Endocrinology Division A/S and Ascendis Pharma A/S</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and</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Dated as of September 5,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ACTIVE/78804560.7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ACTIVE/93721142.5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835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84"/>
        </w:trPr>
        <w:tc>
          <w:tcPr>
            <w:tcW w:w="1400" w:type="dxa"/>
            <w:vAlign w:val="bottom"/>
          </w:tcPr>
          <w:p>
            <w:pPr>
              <w:spacing w:after="0"/>
              <w:rPr>
                <w:sz w:val="24"/>
                <w:szCs w:val="24"/>
                <w:color w:val="auto"/>
              </w:rPr>
            </w:pPr>
          </w:p>
        </w:tc>
        <w:tc>
          <w:tcPr>
            <w:tcW w:w="8440" w:type="dxa"/>
            <w:vAlign w:val="bottom"/>
          </w:tcPr>
          <w:p>
            <w:pPr>
              <w:ind w:left="30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00" w:type="dxa"/>
            <w:vAlign w:val="bottom"/>
          </w:tcPr>
          <w:p>
            <w:pPr>
              <w:spacing w:after="0"/>
              <w:rPr>
                <w:sz w:val="24"/>
                <w:szCs w:val="24"/>
                <w:color w:val="auto"/>
              </w:rPr>
            </w:pPr>
          </w:p>
        </w:tc>
      </w:tr>
      <w:tr>
        <w:trPr>
          <w:trHeight w:val="350"/>
        </w:trPr>
        <w:tc>
          <w:tcPr>
            <w:tcW w:w="14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71"/>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1 DEFINITIONS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1.1</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Definitions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1.2</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Certain Interpretations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1.3</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Headings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77"/>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2 PURCHASE, SALE AND ASSIGNMENT OF THE REVENUE PARTICIPATION RIGHT</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2.1</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Purchase, Sale and Assignment</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2.2</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Assumed Obligations, Etc.</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2.3</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True Sale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77"/>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3 CLOSING; PAYMENT OF PURCHASE PRICE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3.1</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Closing</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3.2</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Payment of Purchase Price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3.3</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Bill of Sale [***]</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3.4</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Seller Form W-8BEN-E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3.5</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Buyer Form W-9</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77"/>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4 REPRESENTATIONS AND WARRANTIES OF THE SELLER</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Existence; Good Standing</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4.2</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Authorization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4.3</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Enforceability</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4.4</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Conflicts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4.5</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Consents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4.6</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Litigation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4.7</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Compliance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4.8</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4.9</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Manufacturing Matters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4.10</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Intellectual Property</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4.11</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Title to Revenue Participation Right; No Liens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4.12</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Indebtedness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4.13</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Lien Related Representation and Warranties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4.14</w:t>
            </w:r>
          </w:p>
        </w:tc>
        <w:tc>
          <w:tcPr>
            <w:tcW w:w="84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Brokers’ Fees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63"/>
        </w:trPr>
        <w:tc>
          <w:tcPr>
            <w:tcW w:w="1400" w:type="dxa"/>
            <w:vAlign w:val="bottom"/>
          </w:tcPr>
          <w:p>
            <w:pPr>
              <w:spacing w:after="0"/>
              <w:rPr>
                <w:sz w:val="24"/>
                <w:szCs w:val="24"/>
                <w:color w:val="auto"/>
              </w:rPr>
            </w:pPr>
          </w:p>
        </w:tc>
        <w:tc>
          <w:tcPr>
            <w:tcW w:w="844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i</w:t>
            </w:r>
          </w:p>
        </w:tc>
        <w:tc>
          <w:tcPr>
            <w:tcW w:w="1400" w:type="dxa"/>
            <w:vAlign w:val="bottom"/>
          </w:tcPr>
          <w:p>
            <w:pPr>
              <w:spacing w:after="0"/>
              <w:rPr>
                <w:sz w:val="24"/>
                <w:szCs w:val="24"/>
                <w:color w:val="auto"/>
              </w:rPr>
            </w:pPr>
          </w:p>
        </w:tc>
      </w:tr>
      <w:tr>
        <w:trPr>
          <w:trHeight w:val="642"/>
        </w:trPr>
        <w:tc>
          <w:tcPr>
            <w:tcW w:w="140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80"/>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4.15</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Foreign Corrupt Practices Act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4.16</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Additional Products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77"/>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5 REPRESENTATIONS AND WARRANTIES OF THE BUYER</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5.1</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Existence; Good Standing</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5.2</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Authorization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5.3</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Enforceability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5.4</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5.5</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Consents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5.6</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Litigation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5.7</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Financing</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5.8</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Brokers’ Fees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6 NO OTHER REPRESENTATIONS AND WARRANTIES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77"/>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7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Seller Diligence Requirements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7.2</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Reporting</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7.3</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Revenue Payments; Revenue Payment Details; Buy-Out Payment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7.4</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Inspections and Audits of the Seller</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7.5</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Intellectual Property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7.6</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In-Licenses and Intercompany Agreements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7.7</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Out-Licenses and Contract Manufacturing Agreements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7.8</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Disclosures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7.9</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Post-Closing Obligation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7.10</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Efforts to Consummate Transactions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7.11</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Further Assurances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7.12</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Late Payments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7.13</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Negative Pledge; Preservation of Assets; Lien Cooperation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77"/>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8 INDEMNIFICATION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8.1</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General Indemnity</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8.2</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Notice of Claims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8.3</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Limitations on Liability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8.4</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Third Party Claims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77"/>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8.5</w:t>
            </w:r>
          </w:p>
        </w:tc>
        <w:tc>
          <w:tcPr>
            <w:tcW w:w="77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Exclusive Remedy</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63"/>
        </w:trPr>
        <w:tc>
          <w:tcPr>
            <w:tcW w:w="1400" w:type="dxa"/>
            <w:vAlign w:val="bottom"/>
          </w:tcPr>
          <w:p>
            <w:pPr>
              <w:spacing w:after="0"/>
              <w:rPr>
                <w:sz w:val="24"/>
                <w:szCs w:val="24"/>
                <w:color w:val="auto"/>
              </w:rPr>
            </w:pPr>
          </w:p>
        </w:tc>
        <w:tc>
          <w:tcPr>
            <w:tcW w:w="7780" w:type="dxa"/>
            <w:vAlign w:val="bottom"/>
          </w:tcPr>
          <w:p>
            <w:pPr>
              <w:ind w:left="4160"/>
              <w:spacing w:after="0"/>
              <w:rPr>
                <w:sz w:val="20"/>
                <w:szCs w:val="20"/>
                <w:color w:val="auto"/>
              </w:rPr>
            </w:pPr>
            <w:r>
              <w:rPr>
                <w:rFonts w:ascii="Times New Roman" w:cs="Times New Roman" w:eastAsia="Times New Roman" w:hAnsi="Times New Roman"/>
                <w:sz w:val="22"/>
                <w:szCs w:val="22"/>
                <w:color w:val="auto"/>
              </w:rPr>
              <w:t>ii</w:t>
            </w:r>
          </w:p>
        </w:tc>
        <w:tc>
          <w:tcPr>
            <w:tcW w:w="2060" w:type="dxa"/>
            <w:vAlign w:val="bottom"/>
          </w:tcPr>
          <w:p>
            <w:pPr>
              <w:spacing w:after="0"/>
              <w:rPr>
                <w:sz w:val="24"/>
                <w:szCs w:val="24"/>
                <w:color w:val="auto"/>
              </w:rPr>
            </w:pPr>
          </w:p>
        </w:tc>
      </w:tr>
      <w:tr>
        <w:trPr>
          <w:trHeight w:val="642"/>
        </w:trPr>
        <w:tc>
          <w:tcPr>
            <w:tcW w:w="140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6" w:name="page267"/>
    <w:bookmarkEnd w:id="266"/>
    <w:tbl>
      <w:tblPr>
        <w:tblLayout w:type="fixed"/>
        <w:tblInd w:w="20" w:type="dxa"/>
        <w:tblCellMar>
          <w:top w:w="0" w:type="dxa"/>
          <w:left w:w="0" w:type="dxa"/>
          <w:bottom w:w="0" w:type="dxa"/>
          <w:right w:w="0" w:type="dxa"/>
        </w:tblCellMar>
      </w:tblPr>
      <w:tr>
        <w:trPr>
          <w:trHeight w:val="28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8.6</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Tax Treatment for Indemnification Payments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7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9 CONFIDENTIALITY</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9.1</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Confidentiality</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9.2</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Authorized Disclosure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7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10 TERMINATION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10.1</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Term and Expiration; Surviving Payments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10.2</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Mutual Termination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10.3</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Survival</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7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11 MISCELLANEOUS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Notices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11.2</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Expenses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11.3</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Assignment; Transfer Restrictions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11.4</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Amendment and Waiver</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11.5</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Entire Agreement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11.6</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No Third Party Beneficiaries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11.7</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Governing Law</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11.8</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Jurisdiction; Venue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11.9</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Severability</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11.10</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Specific Performance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11.11</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Counterparts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11.12</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Relationship of the Parties; Cooperation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7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11.13</w:t>
            </w:r>
          </w:p>
        </w:tc>
        <w:tc>
          <w:tcPr>
            <w:tcW w:w="6860" w:type="dxa"/>
            <w:vAlign w:val="bottom"/>
          </w:tcPr>
          <w:p>
            <w:pPr>
              <w:ind w:left="260"/>
              <w:spacing w:after="0"/>
              <w:rPr>
                <w:sz w:val="20"/>
                <w:szCs w:val="20"/>
                <w:color w:val="auto"/>
              </w:rPr>
            </w:pPr>
            <w:r>
              <w:rPr>
                <w:rFonts w:ascii="Times New Roman" w:cs="Times New Roman" w:eastAsia="Times New Roman" w:hAnsi="Times New Roman"/>
                <w:sz w:val="22"/>
                <w:szCs w:val="22"/>
                <w:color w:val="0000FF"/>
              </w:rPr>
              <w:t>Parent Guarantee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Index of Exhibits</w:t>
      </w:r>
    </w:p>
    <w:p>
      <w:pPr>
        <w:spacing w:after="0" w:line="23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Payment Instructions</w:t>
      </w:r>
    </w:p>
    <w:p>
      <w:pPr>
        <w:spacing w:after="0" w:line="2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Form of Bill of Sale</w:t>
      </w:r>
    </w:p>
    <w:p>
      <w:pPr>
        <w:spacing w:after="0" w:line="2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Existing Intercompany Agreements</w:t>
      </w:r>
    </w:p>
    <w:p>
      <w:pPr>
        <w:spacing w:after="0" w:line="2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835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422275</wp:posOffset>
            </wp:positionV>
            <wp:extent cx="7158355"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677" w:right="1440" w:bottom="1440" w:gutter="0" w:footer="0" w:header="0"/>
        </w:sectPr>
      </w:pPr>
    </w:p>
    <w:bookmarkStart w:id="268" w:name="page269"/>
    <w:bookmarkEnd w:id="268"/>
    <w:p>
      <w:pPr>
        <w:ind w:left="10260"/>
        <w:spacing w:after="0"/>
        <w:rPr>
          <w:sz w:val="20"/>
          <w:szCs w:val="20"/>
          <w:color w:val="auto"/>
        </w:rPr>
      </w:pPr>
      <w:r>
        <w:rPr>
          <w:rFonts w:ascii="Times New Roman" w:cs="Times New Roman" w:eastAsia="Times New Roman" w:hAnsi="Times New Roman"/>
          <w:sz w:val="18"/>
          <w:szCs w:val="18"/>
          <w:b w:val="1"/>
          <w:bCs w:val="1"/>
          <w:color w:val="auto"/>
        </w:rPr>
        <w:t>Exhibit 4.22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REVENUE PARTICIPATION RIGHT PURCHASE AND SALE AGREEMENT</w:t>
      </w:r>
    </w:p>
    <w:p>
      <w:pPr>
        <w:spacing w:after="0" w:line="20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REVENUE PARTICIPATION RIGHT PURCHASE AND SALE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September 5,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and entered into by and between Royalty Pharma Development Funding, LLC, a Delaware limited liability company (the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Ascendis Pharma Endocrinology Division A/S, a corporation organized under the laws of Denmark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Ascendis Pharma A/S, a public limited liability company (</w:t>
      </w:r>
      <w:r>
        <w:rPr>
          <w:rFonts w:ascii="Times New Roman" w:cs="Times New Roman" w:eastAsia="Times New Roman" w:hAnsi="Times New Roman"/>
          <w:sz w:val="22"/>
          <w:szCs w:val="22"/>
          <w:i w:val="1"/>
          <w:iCs w:val="1"/>
          <w:color w:val="auto"/>
        </w:rPr>
        <w:t>Aktieselskab</w:t>
      </w:r>
      <w:r>
        <w:rPr>
          <w:rFonts w:ascii="Times New Roman" w:cs="Times New Roman" w:eastAsia="Times New Roman" w:hAnsi="Times New Roman"/>
          <w:sz w:val="22"/>
          <w:szCs w:val="22"/>
          <w:color w:val="auto"/>
        </w:rPr>
        <w:t>) organized under the laws of Denmark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of the Seller).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Seller is in the business of, among other things, Commercializing the Product in the Territory; and</w:t>
      </w:r>
    </w:p>
    <w:p>
      <w:pPr>
        <w:spacing w:after="0" w:line="20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WHEREAS, the Buyer desires to purchase the Revenue Participation Right and receive the Revenue Payments from the Seller, and the Seller desires to sell the Revenue Participation Right and make the Revenue Payments to the Buyer, in each case on the terms and conditions set forth in this Agreement.</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set forth herein and for good and valuable consideration, the receipt and adequacy of which are hereby acknowledged, the Seller, the Parent and the Buyer hereby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1.1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as used herein, shall have the following meanings:</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Ascendis Technology</w:t>
      </w:r>
      <w:r>
        <w:rPr>
          <w:rFonts w:ascii="Times New Roman" w:cs="Times New Roman" w:eastAsia="Times New Roman" w:hAnsi="Times New Roman"/>
          <w:sz w:val="22"/>
          <w:szCs w:val="22"/>
          <w:color w:val="auto"/>
        </w:rPr>
        <w:t>” means, as of the Effective Date or at any time thereafter during the term of this Agreement, Seller and/or its Affiliates’ proprietary chemistry, materials and methodologies for transiently covalently coupling a substrate of interest (e.g., a peptide, protein, small molecule or any other drug) to various carriers via a TransCon Linker, thereby allowing release of the transiently linked substrate in a controlled manner over time for a therapeutic or prophylactic effect.</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particular Person, any other Person directly or indirectly controlling, controlled by or under common control with such particular Person. For purposes of the foregoing sentence, the term “control” means direct or indirect ownership of (a) fifty percent (50%) or more, including ownership by trusts with substantially the same beneficial interests, of the voting and equity rights of such Person, firm, trust, corporation, partnership or other entity or combination thereof, or (b) the power to direct the management of such person, firm, trust, corporation, partnership or other entity or combination thereof, by contract or otherwise. For purposes hereof, any Person shall be deemed to control a partnership, limited liability company, association or other business entity if such Person,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8355"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9" w:name="page270"/>
    <w:bookmarkEnd w:id="26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 Arbitrator</w:t>
      </w:r>
      <w:r>
        <w:rPr>
          <w:rFonts w:ascii="Times New Roman" w:cs="Times New Roman" w:eastAsia="Times New Roman" w:hAnsi="Times New Roman"/>
          <w:sz w:val="22"/>
          <w:szCs w:val="22"/>
          <w:color w:val="auto"/>
        </w:rPr>
        <w:t>” is defined in Section 7.4(d).</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Security Interest</w:t>
      </w:r>
      <w:r>
        <w:rPr>
          <w:rFonts w:ascii="Times New Roman" w:cs="Times New Roman" w:eastAsia="Times New Roman" w:hAnsi="Times New Roman"/>
          <w:sz w:val="22"/>
          <w:szCs w:val="22"/>
          <w:color w:val="auto"/>
        </w:rPr>
        <w:t>” is defined in Section 2.3.</w:t>
      </w:r>
    </w:p>
    <w:p>
      <w:pPr>
        <w:spacing w:after="0" w:line="20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Laws</w:t>
      </w:r>
      <w:r>
        <w:rPr>
          <w:rFonts w:ascii="Times New Roman" w:cs="Times New Roman" w:eastAsia="Times New Roman" w:hAnsi="Times New Roman"/>
          <w:sz w:val="22"/>
          <w:szCs w:val="22"/>
          <w:color w:val="auto"/>
        </w:rPr>
        <w:t>” means, collectively, bankruptcy, insolvency, reorganization, moratorium, fraudulent conveyance, fraudulent transfer or other similar laws affecting the enforcement of creditors’ rights generally.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is defined in Section 3.3.</w:t>
      </w:r>
    </w:p>
    <w:p>
      <w:pPr>
        <w:spacing w:after="0" w:line="20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or Denmark are permitted or required by applicable law or regulation to remain closed.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Buy-Out Notice</w:t>
      </w:r>
      <w:r>
        <w:rPr>
          <w:rFonts w:ascii="Times New Roman" w:cs="Times New Roman" w:eastAsia="Times New Roman" w:hAnsi="Times New Roman"/>
          <w:sz w:val="22"/>
          <w:szCs w:val="22"/>
          <w:color w:val="auto"/>
        </w:rPr>
        <w:t>” is defined in Section 7.3(d)(ii).</w:t>
      </w:r>
    </w:p>
    <w:p>
      <w:pPr>
        <w:spacing w:after="0" w:line="218" w:lineRule="exact"/>
        <w:rPr>
          <w:sz w:val="20"/>
          <w:szCs w:val="20"/>
          <w:color w:val="auto"/>
        </w:rPr>
      </w:pPr>
    </w:p>
    <w:p>
      <w:pPr>
        <w:jc w:val="both"/>
        <w:ind w:firstLine="79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Buy-Out Payment</w:t>
      </w:r>
      <w:r>
        <w:rPr>
          <w:rFonts w:ascii="Times New Roman" w:cs="Times New Roman" w:eastAsia="Times New Roman" w:hAnsi="Times New Roman"/>
          <w:sz w:val="22"/>
          <w:szCs w:val="22"/>
          <w:color w:val="auto"/>
        </w:rPr>
        <w:t>” means 1.925 times the Purchase Price minus the Revenue Payments paid to the Buyer as of the effective date of the Buy-Out Notice, provided, if the Buy-Out Notice is provided on or prior to December 31, 2028 and Seller has paid Buyer Revenue Payments equal to the Purchase Price as of the date of the Buy-Out Notice, then 1.65 times the Purchase Price minus the Revenue Payments paid to the Buyer as of the effective date of the Buy-Out Notice.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is defined in the preamble.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is defined in Section 8.1(a).</w:t>
      </w:r>
    </w:p>
    <w:p>
      <w:pPr>
        <w:spacing w:after="0" w:line="20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a period of three (3) consecutive months ending at midnight, Copenhagen, Denmark time on the last day of March, June, September, or December,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twelve (12) consecutive months commencing on January 1 of any year.</w:t>
      </w:r>
    </w:p>
    <w:p>
      <w:pPr>
        <w:spacing w:after="0" w:line="204"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 a transaction or series of related transactions that results in the sale or other disposition of all or substantially all of the Parent’s and its Affiliates’ assets, on a consolidated basis; or (b) a merger or consolidation with a Third Party in which the Parent is not the surviving corporation or in which, if the Parent is the surviving corporation, the shareholders of the Parent immediately prior to the consummation of such merger or consolidation do not, immediately after consummation of such merger or consolidation, possess, directly or indirectly through one or more intermediaries, and acting jointly, a majority of the voting power of all of the surviving entity’s outstanding stock and other securities and the power to elect a majority of the members of Parent’s board of directors; or (c) a transaction or series of related transactions with one or more Third Parties (which may include a tender offer for the Parent’s stock or the issuance, sale or exchange of stock of the Parent) if the shareholders of the Parent immediately prior to such transaction(s) do not, immediately after consummation of such transaction(s), possess, directly or indirectly through one or more intermediaries, and acting jointly, a majority of the voting power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835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0" w:name="page271"/>
    <w:bookmarkEnd w:id="270"/>
    <w:p>
      <w:pPr>
        <w:jc w:val="both"/>
        <w:ind w:right="20"/>
        <w:spacing w:after="0" w:line="255" w:lineRule="auto"/>
        <w:rPr>
          <w:sz w:val="20"/>
          <w:szCs w:val="20"/>
          <w:color w:val="auto"/>
        </w:rPr>
      </w:pPr>
      <w:r>
        <w:rPr>
          <w:rFonts w:ascii="Times New Roman" w:cs="Times New Roman" w:eastAsia="Times New Roman" w:hAnsi="Times New Roman"/>
          <w:sz w:val="22"/>
          <w:szCs w:val="22"/>
          <w:color w:val="auto"/>
        </w:rPr>
        <w:t>of all of the Parent’s or its successor’s outstanding stock and other securities and the power to elect a majority of the members of the Parent’s or its successor’s board of directors.</w:t>
      </w:r>
    </w:p>
    <w:p>
      <w:pPr>
        <w:spacing w:after="0" w:line="189"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clinical trial intended to support the Marketing Approval or Commercialization of the Product in the Territory.</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Co-Commercialization Agreement</w:t>
      </w:r>
      <w:r>
        <w:rPr>
          <w:rFonts w:ascii="Times New Roman" w:cs="Times New Roman" w:eastAsia="Times New Roman" w:hAnsi="Times New Roman"/>
          <w:sz w:val="22"/>
          <w:szCs w:val="22"/>
          <w:color w:val="auto"/>
        </w:rPr>
        <w:t>” means any written agreement to which the Seller or any of its Affiliates is a party pursuant to which the Seller (or such Affiliate) and the counterparty agree to co-Commercialize the Product in the Territory, including sharing in the net profits (and losses) of such Commercialization, (a) with a Permitted Transferee or (b) with the Seller (or its Affiliate) (i) retaining the sole right to book all co-Commercialization sales of the Product in the Territory and (ii) entitled to at least a fifty percent (50%) share of such net profits (and losses) or alternatively at least a fifty percent (50%) share of net sales.</w:t>
      </w:r>
    </w:p>
    <w:p>
      <w:pPr>
        <w:spacing w:after="0" w:line="19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any and all activities directed to the distribution, marketing, detailing, promotion, selling and securing of reimbursement of a product (including using, importing, selling and offering for sale of the product ), and shall include post-Marketing Approval studies, post-launch marketing, promoting, detailing, marketing research, distributing, customer service, or transporting a product for sale, and regulatory compliance with respect to the foregoing. When used as a verb,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shall mean to engage in Commercialization. For clarity,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excludes Manufacturing activities.</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Commercially Reasonable Efforts</w:t>
      </w:r>
      <w:r>
        <w:rPr>
          <w:rFonts w:ascii="Times New Roman" w:cs="Times New Roman" w:eastAsia="Times New Roman" w:hAnsi="Times New Roman"/>
          <w:sz w:val="20"/>
          <w:szCs w:val="20"/>
          <w:color w:val="auto"/>
        </w:rPr>
        <w:t xml:space="preserve"> ” means, with respect to the efforts to be expended by the Seller and its Affiliates with respect to any objective, such reasonable and diligent efforts to accomplish such objective as a recently commercial stage biopharmaceutical enterprise would normally use to accomplish a similar objective under similar circumstances. It is understood and agreed that with respect to the conduct of the Clinical Trials of the Product that are active as of the Effective Date for the New Indication, the commercial Manufacture of the Product for Commercialization in the Territory and the Commercialization of the Product in the Territory, by the Seller and its Affiliates, such efforts shall be substantially equivalent to those efforts and resources commonly used by a recently commercial stage biopharmaceutical enterprise for pharmaceutical products owned by it, which product is at a similar stage in its product life and is of similar market potential taking into account efficacy, safety, approved labeling, the competitiveness of alternative products in the marketplace, the patent and other proprietary position of the product and the profitability of the product (excluding the amounts payable to the Buyer pursuant to this Agreement).</w:t>
      </w:r>
    </w:p>
    <w:p>
      <w:pPr>
        <w:spacing w:after="0" w:line="16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Updates</w:t>
      </w:r>
      <w:r>
        <w:rPr>
          <w:rFonts w:ascii="Times New Roman" w:cs="Times New Roman" w:eastAsia="Times New Roman" w:hAnsi="Times New Roman"/>
          <w:sz w:val="22"/>
          <w:szCs w:val="22"/>
          <w:color w:val="auto"/>
        </w:rPr>
        <w:t>” means a summary of material updates with respect to the Related Parties’ for Commercialization of the Product in the Territory.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is defined in Section 9.1.</w:t>
      </w:r>
    </w:p>
    <w:p>
      <w:pPr>
        <w:spacing w:after="0" w:line="204"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Manufacturing Agreement</w:t>
      </w:r>
      <w:r>
        <w:rPr>
          <w:rFonts w:ascii="Times New Roman" w:cs="Times New Roman" w:eastAsia="Times New Roman" w:hAnsi="Times New Roman"/>
          <w:sz w:val="22"/>
          <w:szCs w:val="22"/>
          <w:color w:val="auto"/>
        </w:rPr>
        <w:t>” means any agreement or arrangement between the Seller or any of its Affiliates and any Third Party for the Manufacture of a product, including bulk drug product, bulk drug substance and finished product.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Indication</w:t>
      </w:r>
      <w:r>
        <w:rPr>
          <w:rFonts w:ascii="Times New Roman" w:cs="Times New Roman" w:eastAsia="Times New Roman" w:hAnsi="Times New Roman"/>
          <w:sz w:val="22"/>
          <w:szCs w:val="22"/>
          <w:color w:val="auto"/>
        </w:rPr>
        <w:t>” means the treatment of pediatric patients one (1) year and older who</w:t>
      </w: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2"/>
          <w:szCs w:val="22"/>
          <w:color w:val="auto"/>
        </w:rPr>
        <w:t>weigh at least 11.5 kg (25.4 lb) and have growth failure due to inadequate secretion of endogenous growth hormone.</w:t>
      </w:r>
    </w:p>
    <w:p>
      <w:pPr>
        <w:spacing w:after="0" w:line="20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 Intercreditor Agreement</w:t>
      </w:r>
      <w:r>
        <w:rPr>
          <w:rFonts w:ascii="Times New Roman" w:cs="Times New Roman" w:eastAsia="Times New Roman" w:hAnsi="Times New Roman"/>
          <w:sz w:val="22"/>
          <w:szCs w:val="22"/>
          <w:color w:val="auto"/>
        </w:rPr>
        <w:t>” means a customary intercreditor agreement between the Buyer and a senior debt provider providing: (a) [***]; (b) [***]; (c) [***]; and (d) any other provisions reasonably satisfactory to the senior debt provider and the Buyer consistent with clauses (a)-(c) above and consistent with the premise that (i) [***] and (ii) [***]; and (e) the Buyer shall not interfere with such senior debt provider enforcing its rights and remedies as a secured creditor (to the extent such enforcement is not inconsistent with clauses (a)-(d) above).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is defined in Section 9.1.</w:t>
      </w:r>
    </w:p>
    <w:p>
      <w:pPr>
        <w:spacing w:after="0" w:line="20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means the Disclosure Schedule, dated as of the Effective Date, delivered to the Buyer by the Seller concurrently with the execution of this Agreement.</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Distributor</w:t>
      </w:r>
      <w:r>
        <w:rPr>
          <w:rFonts w:ascii="Times New Roman" w:cs="Times New Roman" w:eastAsia="Times New Roman" w:hAnsi="Times New Roman"/>
          <w:sz w:val="22"/>
          <w:szCs w:val="22"/>
          <w:color w:val="auto"/>
        </w:rPr>
        <w:t>” means a Third Party that has the right, option or obligation to distribute, market and sell the Product (with or without any devices or delivery systems) in one or more regions on behalf of a Related Party.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defined in the preamble.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Contract Manufacturing Agreement</w:t>
      </w:r>
      <w:r>
        <w:rPr>
          <w:rFonts w:ascii="Times New Roman" w:cs="Times New Roman" w:eastAsia="Times New Roman" w:hAnsi="Times New Roman"/>
          <w:sz w:val="22"/>
          <w:szCs w:val="22"/>
          <w:color w:val="auto"/>
        </w:rPr>
        <w:t>” has the meaning set forth in Section 4.9.</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Intercompany Agreements</w:t>
      </w:r>
      <w:r>
        <w:rPr>
          <w:rFonts w:ascii="Times New Roman" w:cs="Times New Roman" w:eastAsia="Times New Roman" w:hAnsi="Times New Roman"/>
          <w:sz w:val="22"/>
          <w:szCs w:val="22"/>
          <w:color w:val="auto"/>
        </w:rPr>
        <w:t xml:space="preserve">” means the Intercompany Agreements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Out-License</w:t>
      </w:r>
      <w:r>
        <w:rPr>
          <w:rFonts w:ascii="Times New Roman" w:cs="Times New Roman" w:eastAsia="Times New Roman" w:hAnsi="Times New Roman"/>
          <w:sz w:val="22"/>
          <w:szCs w:val="22"/>
          <w:color w:val="auto"/>
        </w:rPr>
        <w:t>” means [***].</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Patents</w:t>
      </w:r>
      <w:r>
        <w:rPr>
          <w:rFonts w:ascii="Times New Roman" w:cs="Times New Roman" w:eastAsia="Times New Roman" w:hAnsi="Times New Roman"/>
          <w:sz w:val="22"/>
          <w:szCs w:val="22"/>
          <w:color w:val="auto"/>
        </w:rPr>
        <w:t>” has the meaning set forth in Section 4.10(a).</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is defined in Section 4.15.</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0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Gross Sales</w:t>
      </w:r>
      <w:r>
        <w:rPr>
          <w:rFonts w:ascii="Times New Roman" w:cs="Times New Roman" w:eastAsia="Times New Roman" w:hAnsi="Times New Roman"/>
          <w:sz w:val="22"/>
          <w:szCs w:val="22"/>
          <w:color w:val="auto"/>
        </w:rPr>
        <w:t>” is defined in the definition of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financial reporting standards as promulgated by the International Accounting Standards Board as adopted in the European Union, consistently applied.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2" w:name="page273"/>
    <w:bookmarkEnd w:id="272"/>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any indebtedness for borrowed money, obligation evidenced by a note, bond, debenture or similar instrument, or guarantee of any of the foregoing.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is defined in Section 8.2.</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is defined in Section 8.2.</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Indications</w:t>
      </w:r>
      <w:r>
        <w:rPr>
          <w:rFonts w:ascii="Times New Roman" w:cs="Times New Roman" w:eastAsia="Times New Roman" w:hAnsi="Times New Roman"/>
          <w:sz w:val="22"/>
          <w:szCs w:val="22"/>
          <w:color w:val="auto"/>
        </w:rPr>
        <w:t>” is defined in Section 7.1(b).</w:t>
      </w:r>
    </w:p>
    <w:p>
      <w:pPr>
        <w:spacing w:after="0" w:line="20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In-License</w:t>
      </w:r>
      <w:r>
        <w:rPr>
          <w:rFonts w:ascii="Times New Roman" w:cs="Times New Roman" w:eastAsia="Times New Roman" w:hAnsi="Times New Roman"/>
          <w:sz w:val="22"/>
          <w:szCs w:val="22"/>
          <w:color w:val="auto"/>
        </w:rPr>
        <w:t>” means any (a) in-license or (b) settlement agreement or other similar agreement or arrangement, in each case of (a) and (b), between the Seller or any of its Affiliates, on the one hand, and any Third Party, on the other hand, pursuant to which the Seller or any of its Affiliates obtain an in-license or a covenant not to sue or similar grant of rights under any Patents or other Intellectual Property Rights owned or controlled by such Third Party that are necessary for the commercial Manufacture of the Product anywhere in the world for Commercialization in the Territory or the Commercialization of the Product in the Territory.</w:t>
      </w:r>
    </w:p>
    <w:p>
      <w:pPr>
        <w:spacing w:after="0" w:line="182"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means any and all of the following as they exist at any time: (a) Patents; (b) registered and unregistered trademarks, service marks, trade names, trade dress, logos, packaging design, slogans and Internet domain names, and registrations and applications for registration of any of the foregoing; (c) copyrights in both published and unpublished works, including all compilations, databases and computer programs, manuals and other documentation and all copyright registrations and applications, and all derivatives, translations, adaptations and combinations of the above; (d) Know-How; and (e) any and all other intellectual property rights and/or proprietary rights, whether or not patentable, specifically relating to any of the foregoing.</w:t>
      </w:r>
    </w:p>
    <w:p>
      <w:pPr>
        <w:spacing w:after="0" w:line="156" w:lineRule="exact"/>
        <w:rPr>
          <w:sz w:val="20"/>
          <w:szCs w:val="20"/>
          <w:color w:val="auto"/>
        </w:rPr>
      </w:pPr>
    </w:p>
    <w:p>
      <w:pPr>
        <w:jc w:val="both"/>
        <w:ind w:firstLine="749"/>
        <w:spacing w:after="0" w:line="27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Updates</w:t>
      </w:r>
      <w:r>
        <w:rPr>
          <w:rFonts w:ascii="Times New Roman" w:cs="Times New Roman" w:eastAsia="Times New Roman" w:hAnsi="Times New Roman"/>
          <w:sz w:val="20"/>
          <w:szCs w:val="20"/>
          <w:color w:val="auto"/>
        </w:rPr>
        <w:t>” means an updated list of the Patents owned or controlled by the Seller, Parent or any of its Affiliates that relate to the Product in the Territory or the Commercialization of the Product in the Territory and identifying any new Patents issued or filed, amended or supplemented, or any abandonments or other termination of prosecution.</w:t>
      </w:r>
    </w:p>
    <w:p>
      <w:pPr>
        <w:spacing w:after="0" w:line="14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Agreements</w:t>
      </w:r>
      <w:r>
        <w:rPr>
          <w:rFonts w:ascii="Times New Roman" w:cs="Times New Roman" w:eastAsia="Times New Roman" w:hAnsi="Times New Roman"/>
          <w:sz w:val="20"/>
          <w:szCs w:val="20"/>
          <w:color w:val="auto"/>
        </w:rPr>
        <w:t>” means any license, settlement agreement or other agreement or arrangement between the Seller or any of its Affiliates, on the one hand, and any of the Seller’s Affiliates, on the other hand, pursuant to which the Seller or any of its Affiliates obtains or grants a license, sublicense, or a covenant not to sue or similar grant of rights to any Patents or other Intellectual Property Rights owned or controlled by the Seller or any of its Affiliates that are necessary to commercially Manufacture the Product for Commercialization of the Product in the Territory or to Commercialize the Product in the Territory.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writ, injunction, citation, award or decree of any nature.</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any and all proprietary or confidential information, know-how and trade secrets, including processes, formulae, models and techniques, rights in research in progress, algorithms, data, databases, data collections, chemical and biological materials (including any compounds, DNA, RNA, clones, vectors, cells and any expression product, progeny, derivatives or improvements thereto), and the results of experimentation and testing, and samples.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3" w:name="page274"/>
    <w:bookmarkEnd w:id="273"/>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participation interest, charge, adverse claim, security interest, encumbrance or restriction of any kind, including any restriction on use, transfer or exercise of any other attribute of ownership of any kind.</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means a Third Party (other than a Distributor) to whom any Related Party (including, for clarity, another Licensee) has granted a license or sublicense to Commercialize the Product in the Territory.</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and all Judgments, damages, losses, claims, costs, liabilities and expenses, including reasonable fees and out-of-pocket expenses of counsel.</w:t>
      </w:r>
    </w:p>
    <w:p>
      <w:pPr>
        <w:spacing w:after="0" w:line="16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means manufacturing, production, formulating, processing, filling, finishing, quality control, quality assurance, stability testing, packaging, labeling, shipping, importing, storage and similar activities with respect to a product (and components thereof or therefor), and regulatory compliance with respect to the foregoing. “</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shall mean to engage in Manufacturing. For clarity,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excludes Commercialization activities.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means, with respect to any product, any and all approvals (including drug and/or device approval applications), licenses, registrations or authorizations sufficient to Commercialize such product in accordance with applicable laws (excluding any compassionate or emergency use or similar approval or authorization and excluding pricing or reimbursement approvals).</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effect on (i) the Commercialization of the Product in the Territory, (ii) any of the Intellectual Property Rights or Marketing Approvals owned or controlled by Seller, Parent or its Affiliates directly related to the Commercialization of the Product in the Territory, (iii) the Seller’s ability to commercially Manufacture, or have Manufactured, the Product for the Commercialization of the Product in the Territory, (iv) the legality, validity or enforceability of this Agreement, (v) the ability of the Seller or its Affiliates to perform any of its obligations under this Agreement, or (vi) the rights or remedies of the Buyer under this Agreement; or (b) an adverse effect in any material respect on the timing, duration, or amount of the payment of any of the Revenue Payments.</w:t>
      </w:r>
    </w:p>
    <w:p>
      <w:pPr>
        <w:spacing w:after="0" w:line="18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the gross amount invoiced, billed or otherwise recorded for sales of the Product in the Territory by or on behalf of the Seller, its Affiliates, or any Licensee, in each case, to a Third Party in accordance with IFRS consistently applied (“</w:t>
      </w:r>
      <w:r>
        <w:rPr>
          <w:rFonts w:ascii="Times New Roman" w:cs="Times New Roman" w:eastAsia="Times New Roman" w:hAnsi="Times New Roman"/>
          <w:sz w:val="22"/>
          <w:szCs w:val="22"/>
          <w:u w:val="single" w:color="auto"/>
          <w:color w:val="auto"/>
        </w:rPr>
        <w:t>Gross Sales</w:t>
      </w:r>
      <w:r>
        <w:rPr>
          <w:rFonts w:ascii="Times New Roman" w:cs="Times New Roman" w:eastAsia="Times New Roman" w:hAnsi="Times New Roman"/>
          <w:sz w:val="22"/>
          <w:szCs w:val="22"/>
          <w:color w:val="auto"/>
        </w:rPr>
        <w:t>”), less the following amounts, to the extent actually incurred or accrued in calculating revenue from sales of the Product in the Territory in accordance with IFRS consistently applied, and not reimbursed by or recovered from such Third Party; provided, that any given amount may be taken as a permitted deduction only once: [***]</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Net Sales shall be determined in U.S. dollars. If Seller, its Affiliates, or any Licensee effects a sale, disposition, or transfer of a Product to a Third Party other than on customary commercial terms or for non-monetary consideration, the Net Sales of such Product to such Third Party shall be deemed to be “the fair market value” of such Product. For purposes of the foregoing, “fair market value” means the value that would have been derived had such Product been sold 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4" w:name="page275"/>
    <w:bookmarkEnd w:id="274"/>
    <w:p>
      <w:pPr>
        <w:jc w:val="both"/>
        <w:spacing w:after="0" w:line="255" w:lineRule="auto"/>
        <w:rPr>
          <w:sz w:val="20"/>
          <w:szCs w:val="20"/>
          <w:color w:val="auto"/>
        </w:rPr>
      </w:pPr>
      <w:r>
        <w:rPr>
          <w:rFonts w:ascii="Times New Roman" w:cs="Times New Roman" w:eastAsia="Times New Roman" w:hAnsi="Times New Roman"/>
          <w:sz w:val="22"/>
          <w:szCs w:val="22"/>
          <w:color w:val="auto"/>
        </w:rPr>
        <w:t>a separate product to another customer on customary commercial terms. Net Sales will not include [***]. Net Sales shall also include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Indication</w:t>
      </w:r>
      <w:r>
        <w:rPr>
          <w:rFonts w:ascii="Times New Roman" w:cs="Times New Roman" w:eastAsia="Times New Roman" w:hAnsi="Times New Roman"/>
          <w:sz w:val="22"/>
          <w:szCs w:val="22"/>
          <w:color w:val="auto"/>
        </w:rPr>
        <w:t>” is defined in Section 7.1(b).</w:t>
      </w:r>
    </w:p>
    <w:p>
      <w:pPr>
        <w:spacing w:after="0" w:line="20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Out-License</w:t>
      </w:r>
      <w:r>
        <w:rPr>
          <w:rFonts w:ascii="Times New Roman" w:cs="Times New Roman" w:eastAsia="Times New Roman" w:hAnsi="Times New Roman"/>
          <w:sz w:val="22"/>
          <w:szCs w:val="22"/>
          <w:color w:val="auto"/>
        </w:rPr>
        <w:t>” means any license between the Seller or any of its Affiliates, on the one hand, and any Third Party, on the other hand, pursuant to which the Seller or any of its Affiliates grants a license or sublicense under any Intellectual Property Right owned or controlled by the Seller or any of its Affiliates to Commercialize the Product in the Territory.</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any and all patents and patent applications,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 Development Transaction</w:t>
      </w:r>
      <w:r>
        <w:rPr>
          <w:rFonts w:ascii="Times New Roman" w:cs="Times New Roman" w:eastAsia="Times New Roman" w:hAnsi="Times New Roman"/>
          <w:sz w:val="22"/>
          <w:szCs w:val="22"/>
          <w:color w:val="auto"/>
        </w:rPr>
        <w:t>” is defined in Section 7.13.</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any of the following:</w:t>
      </w:r>
    </w:p>
    <w:p>
      <w:pPr>
        <w:spacing w:after="0" w:line="231" w:lineRule="exact"/>
        <w:rPr>
          <w:sz w:val="20"/>
          <w:szCs w:val="20"/>
          <w:color w:val="auto"/>
        </w:rPr>
      </w:pPr>
    </w:p>
    <w:p>
      <w:pPr>
        <w:jc w:val="both"/>
        <w:ind w:firstLine="756"/>
        <w:spacing w:after="0" w:line="238" w:lineRule="auto"/>
        <w:tabs>
          <w:tab w:leader="none" w:pos="117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granted as a replacement or substitute for any Liens in existence on the Effective Date; provided that any such replacement or substitute Lien (i) does not secure an aggregate amount of Indebtedness or other obligations, if any, greater than that secured on the Effective Date and (ii) does not encumber any property other than the property subject thereto on the Effective Date (plus improvements and accessions to such property);</w:t>
      </w:r>
    </w:p>
    <w:p>
      <w:pPr>
        <w:spacing w:after="0" w:line="180"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that are being contested in good faith by appropriate proceedings diligently conducted;</w:t>
      </w:r>
    </w:p>
    <w:p>
      <w:pPr>
        <w:spacing w:after="0" w:line="227" w:lineRule="exact"/>
        <w:rPr>
          <w:rFonts w:ascii="Times New Roman" w:cs="Times New Roman" w:eastAsia="Times New Roman" w:hAnsi="Times New Roman"/>
          <w:sz w:val="20"/>
          <w:szCs w:val="20"/>
          <w:color w:val="auto"/>
        </w:rPr>
      </w:pPr>
    </w:p>
    <w:p>
      <w:pPr>
        <w:jc w:val="both"/>
        <w:ind w:firstLine="756"/>
        <w:spacing w:after="0" w:line="242" w:lineRule="auto"/>
        <w:tabs>
          <w:tab w:leader="none" w:pos="117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or common law Liens of landlords, carriers, warehousemen, mechanics, materialmen, repairmen, construction contractors or other like Liens that secure amounts not overdue for a period of more than [***] or that are being contested in good faith by appropriate proceedings diligently conducted; and</w:t>
      </w:r>
    </w:p>
    <w:p>
      <w:pPr>
        <w:spacing w:after="0" w:line="176"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secured Indebtedness that the Parent, Seller and/or any Affiliate of the Parent or Seller incur from a Third Party, a Lien on the US Product Rights or any “proceeds” (as defined in the UCC) thereof; provided that any such Third Party enters into a Customary Intercreditor Agreement (“</w:t>
      </w:r>
      <w:r>
        <w:rPr>
          <w:rFonts w:ascii="Times New Roman" w:cs="Times New Roman" w:eastAsia="Times New Roman" w:hAnsi="Times New Roman"/>
          <w:sz w:val="22"/>
          <w:szCs w:val="22"/>
          <w:u w:val="single" w:color="auto"/>
          <w:color w:val="auto"/>
        </w:rPr>
        <w:t>Permitted Secured Indebtedness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160" w:hanging="404"/>
        <w:spacing w:after="0"/>
        <w:tabs>
          <w:tab w:leader="none" w:pos="116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Back-Up Security Interest; and</w:t>
      </w:r>
    </w:p>
    <w:p>
      <w:pPr>
        <w:spacing w:after="0" w:line="204" w:lineRule="exact"/>
        <w:rPr>
          <w:rFonts w:ascii="Times New Roman" w:cs="Times New Roman" w:eastAsia="Times New Roman" w:hAnsi="Times New Roman"/>
          <w:sz w:val="20"/>
          <w:szCs w:val="20"/>
          <w:color w:val="auto"/>
        </w:rPr>
      </w:pPr>
    </w:p>
    <w:p>
      <w:pPr>
        <w:ind w:firstLine="756"/>
        <w:spacing w:after="0" w:line="255" w:lineRule="auto"/>
        <w:tabs>
          <w:tab w:leader="none" w:pos="114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licenses, sublicenses or similar grants of rights in connection with licensing or collaboration transactions otherwise permitted by this Agreement.</w:t>
      </w:r>
    </w:p>
    <w:p>
      <w:pPr>
        <w:spacing w:after="0" w:line="162"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Out-License</w:t>
      </w:r>
      <w:r>
        <w:rPr>
          <w:rFonts w:ascii="Times New Roman" w:cs="Times New Roman" w:eastAsia="Times New Roman" w:hAnsi="Times New Roman"/>
          <w:sz w:val="22"/>
          <w:szCs w:val="22"/>
          <w:color w:val="auto"/>
        </w:rPr>
        <w:t>” means (a) a written Out-License to a Permitted Transferee or with a Distributor (acting solely as a Distributor), or (b) a Co-Commercialization Agreement.</w:t>
      </w: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8355"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5" w:name="page276"/>
    <w:bookmarkEnd w:id="27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Secured Indebtedness</w:t>
      </w:r>
      <w:r>
        <w:rPr>
          <w:rFonts w:ascii="Times New Roman" w:cs="Times New Roman" w:eastAsia="Times New Roman" w:hAnsi="Times New Roman"/>
          <w:sz w:val="22"/>
          <w:szCs w:val="22"/>
          <w:color w:val="auto"/>
        </w:rPr>
        <w:t>” is defined in the definition of “Permitted Liens.”</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means [***].</w:t>
      </w:r>
    </w:p>
    <w:p>
      <w:pPr>
        <w:spacing w:after="0" w:line="23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prime rate published by The Wall Street Journal, from time to time, as the prime rate.</w:t>
      </w:r>
    </w:p>
    <w:p>
      <w:pPr>
        <w:spacing w:after="0" w:line="20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product that (a) contains (i) TraNScon hGH or (ii) lonapegsomatropin-tcgd, in each case, as an active ingredient or as an active moiety, and (b) has received Marketing Approval in the Territory as a treatment for a Relevant Product Indication. Product includes SKYTROFA® (for which the FDA has approved Seller’s BLA 761177).</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IP</w:t>
      </w:r>
      <w:r>
        <w:rPr>
          <w:rFonts w:ascii="Times New Roman" w:cs="Times New Roman" w:eastAsia="Times New Roman" w:hAnsi="Times New Roman"/>
          <w:sz w:val="22"/>
          <w:szCs w:val="22"/>
          <w:color w:val="auto"/>
        </w:rPr>
        <w:t>” is defined in Section 4.10(b).</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one hundred and fifty million dollars ($150,000,000).</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is defined in Section 7.2(a).</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is defined in Section 9.1.</w:t>
      </w:r>
    </w:p>
    <w:p>
      <w:pPr>
        <w:spacing w:after="0" w:line="204"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Governmental Entity, including the FDA, which has responsibility in granting a Marketing Approval.</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means each of the Seller, its Affiliates, and their respective Licensees, as applicable.</w:t>
      </w:r>
    </w:p>
    <w:p>
      <w:pPr>
        <w:spacing w:after="0" w:line="20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Product Indication</w:t>
      </w:r>
      <w:r>
        <w:rPr>
          <w:rFonts w:ascii="Times New Roman" w:cs="Times New Roman" w:eastAsia="Times New Roman" w:hAnsi="Times New Roman"/>
          <w:sz w:val="22"/>
          <w:szCs w:val="22"/>
          <w:color w:val="auto"/>
        </w:rPr>
        <w:t>” means any of the following diseases (or the substantial equivalent) in all cases regardless of the approved pediatric, child or adult population: (a) [***] (i) [***], (ii) [***] , (iii) [***], (iv) [***], (v) [***], or (vi) [***]; (b) [***]; (c) [***]; (d) [***]; (e) [***]; or (f) [***].</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Participation Right</w:t>
      </w:r>
      <w:r>
        <w:rPr>
          <w:rFonts w:ascii="Times New Roman" w:cs="Times New Roman" w:eastAsia="Times New Roman" w:hAnsi="Times New Roman"/>
          <w:sz w:val="22"/>
          <w:szCs w:val="22"/>
          <w:color w:val="auto"/>
        </w:rPr>
        <w:t>” means the right to receive payment in full of all Revenue Payments, and an undivided ownership interest in all Net Sales occurring from and after January 1, 2025, including all accounts (as defined in the UCC), general intangibles (as defined in the UCC), payment intangibles (as defined in the UCC) and all other rights to payment on account of, in connection with or arising from such Net Sales, and all proceeds thereof, in an amount equal to the Revenue Percentage.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276" w:name="page277"/>
    <w:bookmarkEnd w:id="276"/>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Payment</w:t>
      </w:r>
      <w:r>
        <w:rPr>
          <w:rFonts w:ascii="Times New Roman" w:cs="Times New Roman" w:eastAsia="Times New Roman" w:hAnsi="Times New Roman"/>
          <w:sz w:val="22"/>
          <w:szCs w:val="22"/>
          <w:color w:val="auto"/>
        </w:rPr>
        <w:t>” means for each Calendar Quarter occurring (in whole or in part) during the Revenue Payment Term, an amount payable to the Buyer equal to the product of (a) Net Sales during such Calendar Quarter (or, for any Calendar Quarter occurring in part during the Revenue Payment Term, Net Sales for the calendar days falling within the Revenue Payment Term during such Calendar Quarter) and (b) the Revenue Percentage.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Payment Term</w:t>
      </w:r>
      <w:r>
        <w:rPr>
          <w:rFonts w:ascii="Times New Roman" w:cs="Times New Roman" w:eastAsia="Times New Roman" w:hAnsi="Times New Roman"/>
          <w:sz w:val="22"/>
          <w:szCs w:val="22"/>
          <w:color w:val="auto"/>
        </w:rPr>
        <w:t>” means the period commencing on January 1, 2025 and ending on the earliest to occur of the following: (a) the date on which the product of Net Sales occurring from and after January 1, 2025 and until and including December 31, 2031 multiplied by the Revenue Percentage equals or exceeds 1.65 times the Purchase Price, if such date occurs on or before December 31, 2031, (b) the date on which the product of Net Sales occurring from and after January 1, 2025 multiplied by the Revenue Percentage equals or exceeds 1.925 times the Purchase Price or (c) the date on which the Buy-Out Payment is paid to the Buyer.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Percentage</w:t>
      </w:r>
      <w:r>
        <w:rPr>
          <w:rFonts w:ascii="Times New Roman" w:cs="Times New Roman" w:eastAsia="Times New Roman" w:hAnsi="Times New Roman"/>
          <w:sz w:val="22"/>
          <w:szCs w:val="22"/>
          <w:color w:val="auto"/>
        </w:rPr>
        <w:t>” means 9.15%.</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Report</w:t>
      </w:r>
      <w:r>
        <w:rPr>
          <w:rFonts w:ascii="Times New Roman" w:cs="Times New Roman" w:eastAsia="Times New Roman" w:hAnsi="Times New Roman"/>
          <w:sz w:val="22"/>
          <w:szCs w:val="22"/>
          <w:color w:val="auto"/>
        </w:rPr>
        <w:t>” is defined in Section 7.3(c).</w:t>
      </w:r>
    </w:p>
    <w:p>
      <w:pPr>
        <w:spacing w:after="0" w:line="204" w:lineRule="exact"/>
        <w:rPr>
          <w:sz w:val="20"/>
          <w:szCs w:val="20"/>
          <w:color w:val="auto"/>
        </w:rPr>
      </w:pPr>
    </w:p>
    <w:p>
      <w:pPr>
        <w:jc w:val="both"/>
        <w:ind w:right="20" w:firstLine="749"/>
        <w:spacing w:after="0" w:line="3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Safety Notices</w:t>
      </w:r>
      <w:r>
        <w:rPr>
          <w:rFonts w:ascii="Times New Roman" w:cs="Times New Roman" w:eastAsia="Times New Roman" w:hAnsi="Times New Roman"/>
          <w:sz w:val="20"/>
          <w:szCs w:val="20"/>
          <w:color w:val="auto"/>
        </w:rPr>
        <w:t>” means any recalls, field notifications, market withdrawals, warnings, “dear doctor” letters, investigator notices, safety alerts or other notices of action relating to an alleged lack of safety or regulatory compliance of the Product.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is defined in the preamble.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is defined in Section 8.1(b).</w:t>
      </w:r>
    </w:p>
    <w:p>
      <w:pPr>
        <w:spacing w:after="0" w:line="23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the United States of America (including its territories and possessions).</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not the Seller or the Seller’s Affiliates.</w:t>
      </w:r>
    </w:p>
    <w:p>
      <w:pPr>
        <w:spacing w:after="0" w:line="204"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TransCon hGH</w:t>
      </w:r>
      <w:r>
        <w:rPr>
          <w:rFonts w:ascii="Times New Roman" w:cs="Times New Roman" w:eastAsia="Times New Roman" w:hAnsi="Times New Roman"/>
          <w:sz w:val="22"/>
          <w:szCs w:val="22"/>
          <w:color w:val="auto"/>
        </w:rPr>
        <w:t>” means the long-acting prodrug of recombinant human growth hormone that combines, incorporates or uses the Ascendis Technology.</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in the State of New York; provided, that, if with respect to any financing statement or by reason of any provisions of law, the perfection, priority or the effect of perfection, priority or non-perfection of the security interests granted to the Administrative Agent pursuant to this Agreement is governed by the Uniform Commercial Code in a jurisdiction of the United States other than New York, then “UCC” means the Uniform Commercial Code in such other jurisdiction for purposes of the provisions of this Agreement and any financing statement relating to such perfection, priority or effect of perfection, priority or non-perfection.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7" w:name="page278"/>
    <w:bookmarkEnd w:id="27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Code</w:t>
      </w:r>
      <w:r>
        <w:rPr>
          <w:rFonts w:ascii="Times New Roman" w:cs="Times New Roman" w:eastAsia="Times New Roman" w:hAnsi="Times New Roman"/>
          <w:sz w:val="22"/>
          <w:szCs w:val="22"/>
          <w:color w:val="auto"/>
        </w:rPr>
        <w:t>” means the U.S. Internal Revenue Code of 1986, as amended.</w:t>
      </w:r>
    </w:p>
    <w:p>
      <w:pPr>
        <w:spacing w:after="0" w:line="20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Product Rights</w:t>
      </w:r>
      <w:r>
        <w:rPr>
          <w:rFonts w:ascii="Times New Roman" w:cs="Times New Roman" w:eastAsia="Times New Roman" w:hAnsi="Times New Roman"/>
          <w:sz w:val="22"/>
          <w:szCs w:val="22"/>
          <w:color w:val="auto"/>
        </w:rPr>
        <w:t xml:space="preserve">” means (a) the Intellectual Property Rights set forth in the sections of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entitled “Existing Patents for US Product Rights Only”, “Trademarks and Trademark Applications for US Product Rights” and “Domain Names for US Product Rights”; (b) any other Intellectual Property Rights owned or controlled by the Seller or any of its Affiliates at any time during the term of this Agreement that directly relates to the Commercialization of the Product in the Territory and that are registered or pending at the United States Patent and Trademark Office, but excluding those Intellectual Property Rights that are necessary to make, have made, sale, offer for sale, use, import or otherwise exploit the Ascendis Technology in or outside the Territory, (c) Seller’s BLA 761177, and (d) any future Marketing Approvals for the Product in the Territory.</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u w:val="single" w:color="auto"/>
          <w:color w:val="auto"/>
        </w:rPr>
        <w:t>Section 1.2 Certain Interpretations</w:t>
      </w:r>
      <w:r>
        <w:rPr>
          <w:rFonts w:ascii="Times New Roman" w:cs="Times New Roman" w:eastAsia="Times New Roman" w:hAnsi="Times New Roman"/>
          <w:sz w:val="22"/>
          <w:szCs w:val="22"/>
          <w:color w:val="auto"/>
        </w:rPr>
        <w:t>. Except where expressly stated otherwise in this Agreement, the following rules of interpretation apply to this Agreement:</w:t>
      </w:r>
    </w:p>
    <w:p>
      <w:pPr>
        <w:spacing w:after="0" w:line="162" w:lineRule="exact"/>
        <w:rPr>
          <w:sz w:val="20"/>
          <w:szCs w:val="20"/>
          <w:color w:val="auto"/>
        </w:rPr>
      </w:pPr>
    </w:p>
    <w:p>
      <w:pPr>
        <w:ind w:right="20" w:firstLine="756"/>
        <w:spacing w:after="0" w:line="255" w:lineRule="auto"/>
        <w:tabs>
          <w:tab w:leader="none" w:pos="11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and “or” are not exclusive and “include,” “includes” and “including” are not limiting and shall be deemed to be followed by the words “without limitation;”</w:t>
      </w:r>
    </w:p>
    <w:p>
      <w:pPr>
        <w:spacing w:after="0" w:line="161" w:lineRule="exact"/>
        <w:rPr>
          <w:rFonts w:ascii="Times New Roman" w:cs="Times New Roman" w:eastAsia="Times New Roman" w:hAnsi="Times New Roman"/>
          <w:sz w:val="22"/>
          <w:szCs w:val="22"/>
          <w:color w:val="auto"/>
        </w:rPr>
      </w:pPr>
    </w:p>
    <w:p>
      <w:pPr>
        <w:ind w:right="20" w:firstLine="756"/>
        <w:spacing w:after="0" w:line="255" w:lineRule="auto"/>
        <w:tabs>
          <w:tab w:leader="none" w:pos="11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“extent” in the phrase “to the extent” means the degree to which a subject or other thing extends, and such phrase does not mean simply “if;”</w:t>
      </w:r>
    </w:p>
    <w:p>
      <w:pPr>
        <w:spacing w:after="0" w:line="161" w:lineRule="exact"/>
        <w:rPr>
          <w:rFonts w:ascii="Times New Roman" w:cs="Times New Roman" w:eastAsia="Times New Roman" w:hAnsi="Times New Roman"/>
          <w:sz w:val="22"/>
          <w:szCs w:val="22"/>
          <w:color w:val="auto"/>
        </w:rPr>
      </w:pPr>
    </w:p>
    <w:p>
      <w:pPr>
        <w:ind w:right="20" w:firstLine="756"/>
        <w:spacing w:after="0" w:line="255" w:lineRule="auto"/>
        <w:tabs>
          <w:tab w:leader="none" w:pos="11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“hereto,” “herein” and “hereunder” and words of similar import when used in this Agreement refer to this Agreement as a whole and not to any particular provision of this Agreement;</w:t>
      </w:r>
    </w:p>
    <w:p>
      <w:pPr>
        <w:spacing w:after="0" w:line="161"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Person are also to its permitted successors and assigns;</w:t>
      </w:r>
    </w:p>
    <w:p>
      <w:pPr>
        <w:spacing w:after="0" w:line="204"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are applicable to the singular as well as the plural forms of such terms;</w:t>
      </w:r>
    </w:p>
    <w:p>
      <w:pPr>
        <w:spacing w:after="0" w:line="204" w:lineRule="exact"/>
        <w:rPr>
          <w:rFonts w:ascii="Times New Roman" w:cs="Times New Roman" w:eastAsia="Times New Roman" w:hAnsi="Times New Roman"/>
          <w:sz w:val="22"/>
          <w:szCs w:val="22"/>
          <w:color w:val="auto"/>
        </w:rPr>
      </w:pPr>
    </w:p>
    <w:p>
      <w:pPr>
        <w:ind w:right="20" w:firstLine="756"/>
        <w:spacing w:after="0" w:line="255" w:lineRule="auto"/>
        <w:tabs>
          <w:tab w:leader="none" w:pos="11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“Article,” “Section” or “Exhibit” refer to an Article or Section of, or an Exhibit to, this Agreement, and references to a “Schedule” refer to the corresponding part of the Disclosure Schedule;</w:t>
      </w:r>
    </w:p>
    <w:p>
      <w:pPr>
        <w:spacing w:after="0" w:line="161"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referring to matters that would or could have, or would or could reasonably be expected to have, or similar phrases, shall be deemed to have such result or expectation with or without the giving of notice or the passage of time, or both;</w:t>
      </w:r>
    </w:p>
    <w:p>
      <w:pPr>
        <w:spacing w:after="0" w:line="176"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terms not specifically or completely defined herein shall be construed in conformity with, and all financial data (including financial ratios and other financial calculations) required to be submitted pursuant to this Agreement or any related document shall be prepared in conformity with IFRS;</w:t>
      </w:r>
    </w:p>
    <w:p>
      <w:pPr>
        <w:spacing w:after="0" w:line="176"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covenants that are to be undertaken “reasonably” by the Seller or its Affiliates, such actions (or inactions) shall take into account the Buyer’s economic interest in the Revenue Participation Right and the Revenue Payments and the impact of the applicable action (or inaction) on such interest;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8" w:name="page279"/>
    <w:bookmarkEnd w:id="278"/>
    <w:p>
      <w:pPr>
        <w:ind w:left="1180" w:hanging="424"/>
        <w:spacing w:after="0"/>
        <w:tabs>
          <w:tab w:leader="none" w:pos="11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 or otherwise to dollar amounts refer to the lawful currency of the United States.</w:t>
      </w:r>
    </w:p>
    <w:p>
      <w:pPr>
        <w:spacing w:after="0" w:line="20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1.3 Headings</w:t>
      </w:r>
      <w:r>
        <w:rPr>
          <w:rFonts w:ascii="Times New Roman" w:cs="Times New Roman" w:eastAsia="Times New Roman" w:hAnsi="Times New Roman"/>
          <w:sz w:val="22"/>
          <w:szCs w:val="22"/>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2</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SALE AND ASSIGNMENT OF THE REVENUE PARTICIPATION RIGHT</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2.1 Purchase, Sale and Assignment</w:t>
      </w:r>
      <w:r>
        <w:rPr>
          <w:rFonts w:ascii="Times New Roman" w:cs="Times New Roman" w:eastAsia="Times New Roman" w:hAnsi="Times New Roman"/>
          <w:sz w:val="22"/>
          <w:szCs w:val="22"/>
          <w:color w:val="auto"/>
        </w:rPr>
        <w:t>. On the Effective Date and upon the terms and subject to the conditions of this Agreement, in exchange for the Buyer’s payment of the Purchase Price, the Seller shall (and Parent shall and shall cause its Affiliate(s) to) sell, transfer, assign and convey to the Buyer, and the Buyer shall purchase, acquire and accept from the Seller (either directly or through the Seller’s Affiliates), the Revenue Participation Right free and clear of all Liens. From and after the Effective Date, each of the Parent and the Seller relinquishes all of the Seller’s, the Parent’s and their Affiliates’ right, title and interest in and to the Revenue Participation Right, and all such right, title and interest shall vest in the Buyer. In addition, the Seller hereby agrees to pay to the Buyer the Revenue Payments on the terms and conditions set forth herein.</w:t>
      </w:r>
    </w:p>
    <w:p>
      <w:pPr>
        <w:spacing w:after="0" w:line="18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2.2 No Assumed Obligations, Etc.</w:t>
      </w:r>
      <w:r>
        <w:rPr>
          <w:rFonts w:ascii="Times New Roman" w:cs="Times New Roman" w:eastAsia="Times New Roman" w:hAnsi="Times New Roman"/>
          <w:sz w:val="22"/>
          <w:szCs w:val="22"/>
          <w:color w:val="auto"/>
        </w:rPr>
        <w:t xml:space="preserve"> Notwithstanding any provision in this Agreement to the contrary, the Buyer is, on the terms and conditions set forth in this Agreement, only purchasing, acquiring and accepting the Revenue Participation Right and is not assuming any liability or obligation of the Seller, the Parent or its Affiliates of whatever nature, whether presently in existence or arising or asserted hereafter. Except as specifically set forth herein in respect of the Revenue Participation Right, the Buyer does not, by such purchase, acquisition and acceptance of the Revenue Participation Right, acquire any other rights of the Seller, the Parent or its Affiliates, or any other assets of the Seller, the Parent or its Affiliates, in each case, other than to the extent of the Back-Up Security Interest granted pursuant to the terms of this Agreement ([***]). For the avoidance of doubt and notwithstanding anything herein to the contrary, nothing in this provision limits any other obligation of the Buyer, the Parent or the Seller under this Agreement or otherwise, including without limitation any indemnity obligations under ARTICLE 8.</w:t>
      </w:r>
    </w:p>
    <w:p>
      <w:pPr>
        <w:spacing w:after="0" w:line="18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u w:val="single" w:color="auto"/>
          <w:color w:val="auto"/>
        </w:rPr>
        <w:t>Section 2.3 True Sale</w:t>
      </w:r>
      <w:r>
        <w:rPr>
          <w:rFonts w:ascii="Times New Roman" w:cs="Times New Roman" w:eastAsia="Times New Roman" w:hAnsi="Times New Roman"/>
          <w:sz w:val="20"/>
          <w:szCs w:val="20"/>
          <w:color w:val="auto"/>
        </w:rPr>
        <w:t>. It is the intention of the parties hereto that the sale, transfer, assignment and conveyance of the Revenue Participation Right contemplated by this Agreement be, and is, a true, complete, absolute and irrevocable sale, transfer, assignment and conveyance by the Seller (on behalf of itself and, as applicable, its Affiliates) to the Buyer of all of the Seller’s and its Affiliates’ rights, title and interests in and to the Revenue Participation Right (except as otherwise required by IFRS solely for financial reporting purposes or by applicable tax law in Denmark solely for Danish tax purposes). None of the Seller, the Parent nor the Buyer intends the transactions contemplated by this Agreement to be, or for any purpose characterized as, a loan from the Buyer to the Seller, or a pledge, a financing transaction or a borrowing (except as otherwise required by IFRS solely for financial reporting purposes or by applicable tax law in Denmark solely for Danish tax purposes). It is the intention of the parties hereto that the beneficial interest in and title to the Revenue Participation Right and any “proceeds” (as such term is defined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9" w:name="page280"/>
    <w:bookmarkEnd w:id="279"/>
    <w:p>
      <w:pPr>
        <w:jc w:val="both"/>
        <w:spacing w:after="0" w:line="231" w:lineRule="auto"/>
        <w:rPr>
          <w:sz w:val="20"/>
          <w:szCs w:val="20"/>
          <w:color w:val="auto"/>
        </w:rPr>
      </w:pPr>
      <w:r>
        <w:rPr>
          <w:rFonts w:ascii="Times New Roman" w:cs="Times New Roman" w:eastAsia="Times New Roman" w:hAnsi="Times New Roman"/>
          <w:sz w:val="22"/>
          <w:szCs w:val="22"/>
          <w:color w:val="auto"/>
        </w:rPr>
        <w:t>in the UCC) thereof shall not be part of the Seller’s, the Parent’s or their Affiliates’ estates in the event of the filing of a petition by or against the Seller, the Parent or any of their Affiliates under any Bankruptcy Laws. The Seller and the Parent each (on behalf of itself and, as applicable, its Affiliates) hereby waives, to the maximum extent permitted by applicable law, any right to contest or otherwise assert that the sale contemplated by this Agreement does not constitute a true, complete, absolute and irrevocable sale, transfer, assignment and conveyance by the Seller (directly or through one or more of its Affiliates) to the Buyer of all of the Seller’s and its Affiliates’ right, title and interest in and to the Revenue Participation Right under applicable law, which waiver shall, to the maximum extent permitted by applicable law, be enforceable against the Seller, the Parent and their Affiliates in any bankruptcy or insolvency proceeding relating to the Seller, the Parent or any of their Affiliates. Accordingly, the Seller, the Parent and their Affiliates shall treat the sale, transfer, assignment and conveyance of the Revenue Participation Right as a sale of “accounts,” or “payment intangibles” (as appropriate) in accordance with the UCC, and each of the Seller and the Parent hereby authorizes the Buyer and its representatives at any time to file one or more financing statements or any amendments to financing statements previously filed by the Buyer (and continuation statements with respect to such financing statements when applicable) naming the Seller (or its Affiliate) as the “seller” and the Buyer as the “buyer” in respect of the Revenue Participation Right. Not in derogation of the foregoing statement of the intent of the parties hereto in this regard, and for the purposes of providing additional assurance to the Buyer, including in the event that, despite the intent of the parties hereto, the sale, transfer, assignment and conveyance contemplated hereby is hereafter held not to be a sale, each of the Seller and the Parent (on its own behalf and on behalf of its Affiliates, as applicable) hereby grants, and by delivery of [***] shall grant, to the Buyer a security interest in, to and under the Revenue Participation Right, the Revenue Payments, the US Product Rights and any “proceeds” (as defined in the UCC) of each of the foregoing as security for all of the Seller’s, the Parent’s and their Affiliates’ obligations under this Agreement [***], including the obligations to pay the Revenue Payments (the “</w:t>
      </w:r>
      <w:r>
        <w:rPr>
          <w:rFonts w:ascii="Times New Roman" w:cs="Times New Roman" w:eastAsia="Times New Roman" w:hAnsi="Times New Roman"/>
          <w:sz w:val="22"/>
          <w:szCs w:val="22"/>
          <w:u w:val="single" w:color="auto"/>
          <w:color w:val="auto"/>
        </w:rPr>
        <w:t>Back-Up Security Interest</w:t>
      </w:r>
      <w:r>
        <w:rPr>
          <w:rFonts w:ascii="Times New Roman" w:cs="Times New Roman" w:eastAsia="Times New Roman" w:hAnsi="Times New Roman"/>
          <w:sz w:val="22"/>
          <w:szCs w:val="22"/>
          <w:color w:val="auto"/>
        </w:rPr>
        <w:t>”), and each of the Seller and the Parent (on its own behalf and on behalf of its Affiliates) does hereby authorize the Buyer and its representatives, from and after the Effective Date, to file one or more financing statements (and continuation statements and any amendments with respect to such financing statements when applicable) in such manner and such jurisdictions as are necessary or appropriate to perfect such Back-Up Security Interest.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CLOSING; PAYMENT OF PURCHASE PRICE</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3.1 Closing</w:t>
      </w:r>
      <w:r>
        <w:rPr>
          <w:rFonts w:ascii="Times New Roman" w:cs="Times New Roman" w:eastAsia="Times New Roman" w:hAnsi="Times New Roman"/>
          <w:sz w:val="22"/>
          <w:szCs w:val="22"/>
          <w:color w:val="auto"/>
        </w:rPr>
        <w:t xml:space="preserve"> . The purchase and sale of the Revenue Participation Right shall take place remotely via the exchange of documents and signatures on the date hereof or such other place, time and date as the parties hereto may mutually agree.</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3.2 Payment of Purchase Price</w:t>
      </w:r>
      <w:r>
        <w:rPr>
          <w:rFonts w:ascii="Times New Roman" w:cs="Times New Roman" w:eastAsia="Times New Roman" w:hAnsi="Times New Roman"/>
          <w:sz w:val="22"/>
          <w:szCs w:val="22"/>
          <w:color w:val="auto"/>
        </w:rPr>
        <w:t xml:space="preserve">. On the Effective Date, the Buyer shall pay to the Seller the Purchase Price by wire transfer of immediately available funds to the account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without set-off, reduction or deduction, or withholding for or on account of any Taxes.</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3.3 Bill of Sale [***]</w:t>
      </w:r>
      <w:r>
        <w:rPr>
          <w:rFonts w:ascii="Times New Roman" w:cs="Times New Roman" w:eastAsia="Times New Roman" w:hAnsi="Times New Roman"/>
          <w:sz w:val="22"/>
          <w:szCs w:val="22"/>
          <w:color w:val="auto"/>
        </w:rPr>
        <w:t xml:space="preserve"> . On the Effective Date, upon confirmation of the receipt of the Purchase Price, (a) the Seller shall deliver (and the Seller or the Parent shall cause their Affiliate(s) to deliver) to the Buyer a duly executed bill of sale and agreement evidencing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0" w:name="page281"/>
    <w:bookmarkEnd w:id="280"/>
    <w:p>
      <w:pPr>
        <w:jc w:val="both"/>
        <w:spacing w:after="0" w:line="255" w:lineRule="auto"/>
        <w:rPr>
          <w:sz w:val="20"/>
          <w:szCs w:val="20"/>
          <w:color w:val="auto"/>
        </w:rPr>
      </w:pPr>
      <w:r>
        <w:rPr>
          <w:rFonts w:ascii="Times New Roman" w:cs="Times New Roman" w:eastAsia="Times New Roman" w:hAnsi="Times New Roman"/>
          <w:sz w:val="22"/>
          <w:szCs w:val="22"/>
          <w:color w:val="auto"/>
        </w:rPr>
        <w:t xml:space="preserve">transfer, assignment and conveyance of the Revenue Participation Right and certain other agreements in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and (b) [***].</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u w:val="single" w:color="auto"/>
          <w:color w:val="auto"/>
        </w:rPr>
        <w:t>Section 3.4 Seller Form W-8BEN-E</w:t>
      </w:r>
      <w:r>
        <w:rPr>
          <w:rFonts w:ascii="Times New Roman" w:cs="Times New Roman" w:eastAsia="Times New Roman" w:hAnsi="Times New Roman"/>
          <w:sz w:val="22"/>
          <w:szCs w:val="22"/>
          <w:color w:val="auto"/>
        </w:rPr>
        <w:t xml:space="preserve"> . On or prior to the Effective Date, the Seller shall deliver to the Buyer a valid, properly executed IRS Form W-8BEN-E certifying that the Seller is exempt from U.S. federal backup withholding tax.</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3.5 Buyer Form W-9</w:t>
      </w:r>
      <w:r>
        <w:rPr>
          <w:rFonts w:ascii="Times New Roman" w:cs="Times New Roman" w:eastAsia="Times New Roman" w:hAnsi="Times New Roman"/>
          <w:sz w:val="22"/>
          <w:szCs w:val="22"/>
          <w:color w:val="auto"/>
        </w:rPr>
        <w:t xml:space="preserve"> . On or prior to the Effective Date, the Buyer shall deliver to the Seller a valid, properly executed IRS Form W-9 certifying that the Buyer is exempt from U.S. federal withholding and backup withholding tax with respect to the Revenue Payments.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4</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THE SELLER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Except as set forth on the Disclosure Schedule attached hereto, the Seller and the Parent (as to Section 4.1 through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4.5) each represents and warrants to the Buyer that as of the Effective Date: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4.1 Existence; Good Standing</w:t>
      </w:r>
      <w:r>
        <w:rPr>
          <w:rFonts w:ascii="Times New Roman" w:cs="Times New Roman" w:eastAsia="Times New Roman" w:hAnsi="Times New Roman"/>
          <w:sz w:val="22"/>
          <w:szCs w:val="22"/>
          <w:color w:val="auto"/>
        </w:rPr>
        <w:t>. The Seller is a corporation, duly organized and validly existing under the laws of Denmark. The Parent is a public limited liability company (</w:t>
      </w:r>
      <w:r>
        <w:rPr>
          <w:rFonts w:ascii="Times New Roman" w:cs="Times New Roman" w:eastAsia="Times New Roman" w:hAnsi="Times New Roman"/>
          <w:sz w:val="22"/>
          <w:szCs w:val="22"/>
          <w:i w:val="1"/>
          <w:iCs w:val="1"/>
          <w:color w:val="auto"/>
        </w:rPr>
        <w:t>Aktieselskab</w:t>
      </w:r>
      <w:r>
        <w:rPr>
          <w:rFonts w:ascii="Times New Roman" w:cs="Times New Roman" w:eastAsia="Times New Roman" w:hAnsi="Times New Roman"/>
          <w:sz w:val="22"/>
          <w:szCs w:val="22"/>
          <w:color w:val="auto"/>
        </w:rPr>
        <w:t>) duly organized and validly existing under the laws of Denmark. Each of the Seller and the Parent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spacing w:after="0" w:line="18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4.2 Authorization</w:t>
      </w:r>
      <w:r>
        <w:rPr>
          <w:rFonts w:ascii="Times New Roman" w:cs="Times New Roman" w:eastAsia="Times New Roman" w:hAnsi="Times New Roman"/>
          <w:sz w:val="22"/>
          <w:szCs w:val="22"/>
          <w:color w:val="auto"/>
        </w:rPr>
        <w:t xml:space="preserve"> . Each of the Seller and the Parent has all requisite corporate power and authority to execute, deliver and perform its respective obligations under this Agreement. The execution, delivery and performance of this Agreement, and the consummation of the transactions contemplated hereby, have been duly authorized by all necessary corporate action on the part of the Seller and the Parent.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4.3 Enforceability</w:t>
      </w:r>
      <w:r>
        <w:rPr>
          <w:rFonts w:ascii="Times New Roman" w:cs="Times New Roman" w:eastAsia="Times New Roman" w:hAnsi="Times New Roman"/>
          <w:sz w:val="22"/>
          <w:szCs w:val="22"/>
          <w:color w:val="auto"/>
        </w:rPr>
        <w:t>. This Agreement has been duly executed and delivered by each of the Seller and the Parent and constitutes the valid and legally binding obligation of each of the Seller and the Parent, enforceable in accordance with its terms, except as may be limited by applicable Bankruptcy Laws or by general principles of equity (whether considered in a proceeding in equity or at law).</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4.4 No Conflicts</w:t>
      </w:r>
      <w:r>
        <w:rPr>
          <w:rFonts w:ascii="Times New Roman" w:cs="Times New Roman" w:eastAsia="Times New Roman" w:hAnsi="Times New Roman"/>
          <w:sz w:val="22"/>
          <w:szCs w:val="22"/>
          <w:color w:val="auto"/>
        </w:rPr>
        <w:t xml:space="preserve"> . The execution, delivery and performance by the Seller and the Parent of this Agreement and the consummation of the transactions contemplated hereby do not and will not (i) contravene or conflict with the organizational documents of the Seller or the Parent, (ii) contravene or conflict with or constitute a material default under any material provision of any law binding upon or applicable to the Seller or the Parent or the Revenue Participation Right or (iii) contravene or conflict with or constitute a material default under any material agreement or Judgment binding upon or applicable to the Seller, the Parent or any of its Affiliates.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1" w:name="page282"/>
    <w:bookmarkEnd w:id="281"/>
    <w:p>
      <w:pPr>
        <w:jc w:val="both"/>
        <w:ind w:firstLine="749"/>
        <w:spacing w:after="0" w:line="265" w:lineRule="auto"/>
        <w:rPr>
          <w:sz w:val="20"/>
          <w:szCs w:val="20"/>
          <w:color w:val="auto"/>
        </w:rPr>
      </w:pPr>
      <w:r>
        <w:rPr>
          <w:rFonts w:ascii="Times New Roman" w:cs="Times New Roman" w:eastAsia="Times New Roman" w:hAnsi="Times New Roman"/>
          <w:sz w:val="20"/>
          <w:szCs w:val="20"/>
          <w:u w:val="single" w:color="auto"/>
          <w:color w:val="auto"/>
        </w:rPr>
        <w:t>Section 4.5 Consents</w:t>
      </w:r>
      <w:r>
        <w:rPr>
          <w:rFonts w:ascii="Times New Roman" w:cs="Times New Roman" w:eastAsia="Times New Roman" w:hAnsi="Times New Roman"/>
          <w:sz w:val="20"/>
          <w:szCs w:val="20"/>
          <w:color w:val="auto"/>
        </w:rPr>
        <w:t xml:space="preserve"> . Except for any filings required by the federal securities laws or stock exchange rules, no consent, approval, license, order, authorization, registration, declaration or filing with or of any Governmental Entity or other Person is required to be done or obtained by the Seller or any of its Affiliates in connection with (i) the execution and delivery by the Seller and the Parent of this Agreement, (ii) the performance by the Seller and the Parent of its respective obligations under this Agreement or (iii) the consummation by the Seller or the Parent of any of the transactions contemplated by this Agreement.</w:t>
      </w:r>
    </w:p>
    <w:p>
      <w:pPr>
        <w:spacing w:after="0" w:line="15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4.6 No Litigation</w:t>
      </w:r>
      <w:r>
        <w:rPr>
          <w:rFonts w:ascii="Times New Roman" w:cs="Times New Roman" w:eastAsia="Times New Roman" w:hAnsi="Times New Roman"/>
          <w:sz w:val="22"/>
          <w:szCs w:val="22"/>
          <w:color w:val="auto"/>
        </w:rPr>
        <w:t>. Neither the Seller nor any of its Affiliates is a party to, and none has received any written notice of, any action, claim, suit, investigation or proceeding pending before any Governmental Entity and, to the knowledge of the Seller, no such action, claim, suit, investigation or proceeding has been threatened against the Seller or any of its Affiliates, that, either individually or in the aggregate, has had or would reasonably be expected to have a Material Adverse Effect.</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4.7</w:t>
      </w:r>
      <w:r>
        <w:rPr>
          <w:sz w:val="20"/>
          <w:szCs w:val="20"/>
          <w:color w:val="auto"/>
        </w:rPr>
        <w:tab/>
      </w: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36" w:lineRule="auto"/>
        <w:tabs>
          <w:tab w:leader="none" w:pos="117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applications, submissions, information and data related to the Product submitted or utilized as the basis for any request to any Regulatory Authority by or on behalf of the Seller or any of its Affiliates were true and correct in all material respects as of the date of such submission or request, and any material updates, changes, corrections or modification to such applications, submissions, information or data required under applicable laws or regulations have been submitted to the necessary Regulatory Authorities, in each case, for the Commercialization of the Product in the Territory.</w:t>
      </w:r>
    </w:p>
    <w:p>
      <w:pPr>
        <w:spacing w:after="0" w:line="182" w:lineRule="exact"/>
        <w:rPr>
          <w:rFonts w:ascii="Times New Roman" w:cs="Times New Roman" w:eastAsia="Times New Roman" w:hAnsi="Times New Roman"/>
          <w:sz w:val="22"/>
          <w:szCs w:val="22"/>
          <w:color w:val="auto"/>
        </w:rPr>
      </w:pPr>
    </w:p>
    <w:p>
      <w:pPr>
        <w:jc w:val="both"/>
        <w:ind w:firstLine="756"/>
        <w:spacing w:after="0" w:line="238" w:lineRule="auto"/>
        <w:tabs>
          <w:tab w:leader="none" w:pos="117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provided to the Buyer prior to the Effective Date in the data room available to the Buyer true, correct and complete copies of (i) all material communications sent or received since August 25, 2021 by the Seller and any of its Affiliates to or from any Regulatory Authorities related to the Commercialization of the Product in the Territory or the Manufacture of the Product anywhere in the world for Commercialization in the Territory, and (ii) [***].</w:t>
      </w:r>
    </w:p>
    <w:p>
      <w:pPr>
        <w:spacing w:after="0" w:line="180"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4" w:lineRule="exact"/>
        <w:rPr>
          <w:rFonts w:ascii="Times New Roman" w:cs="Times New Roman" w:eastAsia="Times New Roman" w:hAnsi="Times New Roman"/>
          <w:sz w:val="22"/>
          <w:szCs w:val="22"/>
          <w:color w:val="auto"/>
        </w:rPr>
      </w:pPr>
    </w:p>
    <w:p>
      <w:pPr>
        <w:jc w:val="both"/>
        <w:ind w:right="20" w:firstLine="756"/>
        <w:spacing w:after="0" w:line="238" w:lineRule="auto"/>
        <w:tabs>
          <w:tab w:leader="none" w:pos="117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neither the Seller nor any of its Affiliates has committed any act, made any statement or failed to make any statement in respect of the Product that would reasonably be expected to provide a basis for the FDA to invoke its policy with respect to “Fraud, Untrue Statements of Material Facts, Bribery, and Illegal Gratuities”, or any other Regulatory Authority to invoke similar policies, set forth in any applicable laws or regulations.</w:t>
      </w:r>
    </w:p>
    <w:p>
      <w:pPr>
        <w:spacing w:after="0" w:line="180" w:lineRule="exact"/>
        <w:rPr>
          <w:rFonts w:ascii="Times New Roman" w:cs="Times New Roman" w:eastAsia="Times New Roman" w:hAnsi="Times New Roman"/>
          <w:sz w:val="22"/>
          <w:szCs w:val="22"/>
          <w:color w:val="auto"/>
        </w:rPr>
      </w:pPr>
    </w:p>
    <w:p>
      <w:pPr>
        <w:jc w:val="both"/>
        <w:ind w:firstLine="756"/>
        <w:spacing w:after="0" w:line="234" w:lineRule="auto"/>
        <w:tabs>
          <w:tab w:leader="none" w:pos="117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2020 (A) there have been no Safety Notices, (B) to the knowledge of the Seller, there are no unresolved material product complaints with respect to the Product in the Territory, which would result in a Material Adverse Effect, and (C) to the knowledge of the Seller, there are no facts currently in existence that would, individually or in the aggregate, reasonably be expected to result in (1) a material Safety Notice with respect to any Product, or (2) a material change in the labeling of the Product in the Territory. The Seller and its Affiliates have not experienced any significant failures in the commercial Manufacturing of the Product for Commercialization in the Territory that have not been resolved, or that would, individually or 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the aggregate, have had or would reasonably be expected to result in, if such failure occurred again, a Material Adverse Effect.</w:t>
      </w:r>
    </w:p>
    <w:p>
      <w:pPr>
        <w:spacing w:after="0" w:line="204" w:lineRule="exact"/>
        <w:rPr>
          <w:sz w:val="20"/>
          <w:szCs w:val="20"/>
          <w:color w:val="auto"/>
        </w:rPr>
      </w:pPr>
    </w:p>
    <w:p>
      <w:pPr>
        <w:jc w:val="both"/>
        <w:ind w:firstLine="756"/>
        <w:spacing w:after="0" w:line="234" w:lineRule="auto"/>
        <w:tabs>
          <w:tab w:leader="none" w:pos="117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the Seller and its Affiliates are, and have been, in compliance with all applicable laws administered or issued by the FDA or any similar Regulatory Authority in each country where the Product has been Manufactured for Commercialization in the Territory, including the Federal Food, Drug, and Cosmetic Act, the Public Health Service Act, applicable requirements in FDA regulations, and any orders issued by FDA or similar Regulator Authorities in each country where the Product has been Manufactured for Commercialization in the Territory, and all other laws regarding ownership, developing, testing, Manufacturing, disposal, Commercializing, and complaint handling or adverse event reporting for the products of the Seller or its Affiliates, except to the extent that such failure to comply with such applicable laws would not reasonably be expected to result in a Material Adverse Effect.</w:t>
      </w:r>
    </w:p>
    <w:p>
      <w:pPr>
        <w:spacing w:after="0" w:line="179"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0"/>
          <w:szCs w:val="20"/>
          <w:color w:val="auto"/>
        </w:rPr>
        <w:t>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-14605</wp:posOffset>
            </wp:positionV>
            <wp:extent cx="81978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3">
                      <a:extLst>
                        <a:ext uri="{28A0092B-C50C-407E-A947-70E740481C1C}"/>
                      </a:extLst>
                    </a:blip>
                    <a:srcRect/>
                    <a:stretch>
                      <a:fillRect/>
                    </a:stretch>
                  </pic:blipFill>
                  <pic:spPr bwMode="auto">
                    <a:xfrm>
                      <a:off x="0" y="0"/>
                      <a:ext cx="819785" cy="8255"/>
                    </a:xfrm>
                    <a:prstGeom prst="rect">
                      <a:avLst/>
                    </a:prstGeom>
                    <a:noFill/>
                  </pic:spPr>
                </pic:pic>
              </a:graphicData>
            </a:graphic>
          </wp:anchor>
        </w:drawing>
      </w:r>
    </w:p>
    <w:p>
      <w:pPr>
        <w:spacing w:after="0" w:line="184" w:lineRule="exact"/>
        <w:rPr>
          <w:sz w:val="20"/>
          <w:szCs w:val="20"/>
          <w:color w:val="auto"/>
        </w:rPr>
      </w:pPr>
    </w:p>
    <w:p>
      <w:pPr>
        <w:ind w:left="1180" w:hanging="424"/>
        <w:spacing w:after="0"/>
        <w:tabs>
          <w:tab w:leader="none" w:pos="118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In-Licenses</w:t>
      </w:r>
      <w:r>
        <w:rPr>
          <w:rFonts w:ascii="Times New Roman" w:cs="Times New Roman" w:eastAsia="Times New Roman" w:hAnsi="Times New Roman"/>
          <w:sz w:val="22"/>
          <w:szCs w:val="22"/>
          <w:color w:val="auto"/>
        </w:rPr>
        <w:t>. There are no In-Licenses.</w:t>
      </w:r>
    </w:p>
    <w:p>
      <w:pPr>
        <w:spacing w:after="0" w:line="204" w:lineRule="exact"/>
        <w:rPr>
          <w:rFonts w:ascii="Times New Roman" w:cs="Times New Roman" w:eastAsia="Times New Roman" w:hAnsi="Times New Roman"/>
          <w:sz w:val="22"/>
          <w:szCs w:val="22"/>
          <w:color w:val="auto"/>
        </w:rPr>
      </w:pPr>
    </w:p>
    <w:p>
      <w:pPr>
        <w:jc w:val="both"/>
        <w:ind w:firstLine="756"/>
        <w:spacing w:after="0" w:line="236" w:lineRule="auto"/>
        <w:tabs>
          <w:tab w:leader="none" w:pos="117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Out-Licenses</w:t>
      </w:r>
      <w:r>
        <w:rPr>
          <w:rFonts w:ascii="Times New Roman" w:cs="Times New Roman" w:eastAsia="Times New Roman" w:hAnsi="Times New Roman"/>
          <w:sz w:val="22"/>
          <w:szCs w:val="22"/>
          <w:color w:val="auto"/>
        </w:rPr>
        <w:t>. There are no Out-Licenses other than the Existing Out-License. To the knowledge of Seller, (i) the Existing Out-License is in full force and effect in accordance with its terms, (ii) there is and has been no breach or default under any provision of the Existing Out-License either [***] or [***], and (iii) no termination of the Existing Out-License has been notified or threatened by any party thereto. [***] has not and, to the knowledge of Seller, [***] has not assigned all or part of the applicable party’s rights under the Existing Out-License Agreement to any other Person.</w:t>
      </w:r>
    </w:p>
    <w:p>
      <w:pPr>
        <w:spacing w:after="0" w:line="182" w:lineRule="exact"/>
        <w:rPr>
          <w:rFonts w:ascii="Times New Roman" w:cs="Times New Roman" w:eastAsia="Times New Roman" w:hAnsi="Times New Roman"/>
          <w:sz w:val="22"/>
          <w:szCs w:val="22"/>
          <w:color w:val="auto"/>
        </w:rPr>
      </w:pPr>
    </w:p>
    <w:p>
      <w:pPr>
        <w:ind w:left="1260" w:hanging="504"/>
        <w:spacing w:after="0"/>
        <w:tabs>
          <w:tab w:leader="none" w:pos="12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Intercompany Agreements</w:t>
      </w:r>
      <w:r>
        <w:rPr>
          <w:rFonts w:ascii="Times New Roman" w:cs="Times New Roman" w:eastAsia="Times New Roman" w:hAnsi="Times New Roman"/>
          <w:sz w:val="22"/>
          <w:szCs w:val="22"/>
          <w:color w:val="auto"/>
        </w:rPr>
        <w:t>.   There are no Intercompany Agreements other than the Existing Intercompany</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4.9 Manufacturing Matters</w:t>
      </w:r>
      <w:r>
        <w:rPr>
          <w:rFonts w:ascii="Times New Roman" w:cs="Times New Roman" w:eastAsia="Times New Roman" w:hAnsi="Times New Roman"/>
          <w:sz w:val="22"/>
          <w:szCs w:val="22"/>
          <w:color w:val="auto"/>
        </w:rPr>
        <w:t xml:space="preserve"> . A true, correct and complete copy of each Contract Manufacturing Agreement (together with any amendment, supplement or modification thereto) pursuant to which commercial Manufacturing of the Product is carried out for the Commercialization of the Product in the Territory that is currently in effect to which Seller or any of its Affiliates is a party has been provided in the data room and is listed on </w:t>
      </w:r>
      <w:r>
        <w:rPr>
          <w:rFonts w:ascii="Times New Roman" w:cs="Times New Roman" w:eastAsia="Times New Roman" w:hAnsi="Times New Roman"/>
          <w:sz w:val="22"/>
          <w:szCs w:val="22"/>
          <w:u w:val="single" w:color="auto"/>
          <w:color w:val="auto"/>
        </w:rPr>
        <w:t>Schedule 4.9</w:t>
      </w:r>
      <w:r>
        <w:rPr>
          <w:rFonts w:ascii="Times New Roman" w:cs="Times New Roman" w:eastAsia="Times New Roman" w:hAnsi="Times New Roman"/>
          <w:sz w:val="22"/>
          <w:szCs w:val="22"/>
          <w:color w:val="auto"/>
        </w:rPr>
        <w:t xml:space="preserve"> of the Disclosure Schedule (each, an “</w:t>
      </w:r>
      <w:r>
        <w:rPr>
          <w:rFonts w:ascii="Times New Roman" w:cs="Times New Roman" w:eastAsia="Times New Roman" w:hAnsi="Times New Roman"/>
          <w:sz w:val="22"/>
          <w:szCs w:val="22"/>
          <w:u w:val="single" w:color="auto"/>
          <w:color w:val="auto"/>
        </w:rPr>
        <w:t>Existing Contract Manufacturing Agreement</w:t>
      </w:r>
      <w:r>
        <w:rPr>
          <w:rFonts w:ascii="Times New Roman" w:cs="Times New Roman" w:eastAsia="Times New Roman" w:hAnsi="Times New Roman"/>
          <w:sz w:val="22"/>
          <w:szCs w:val="22"/>
          <w:color w:val="auto"/>
        </w:rPr>
        <w:t>”). Each Existing Contract Manufacturing Agreement is in full force and effect in accordance with its terms. There is and has been no breach or default under any provision of any Existing Contract Manufacturing Agreement either by the Seller or any of its Affiliates or, to the knowledge of the Seller, by the respective counterparty (or any predecessor thereof) thereto, and no termination of any Existing Contract Manufacturing Agreements has been notified or threatened. No party to any Existing Contract Manufacturing Agreement has assigned all or part of such Existing Contract Manufacturing Agreement to any other Person.</w:t>
      </w:r>
    </w:p>
    <w:p>
      <w:pPr>
        <w:spacing w:after="0" w:line="181"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4.10</w:t>
      </w:r>
      <w:r>
        <w:rPr>
          <w:sz w:val="20"/>
          <w:szCs w:val="20"/>
          <w:color w:val="auto"/>
        </w:rPr>
        <w:tab/>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42" w:lineRule="auto"/>
        <w:tabs>
          <w:tab w:leader="none" w:pos="117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lists all of the currently existing Patents owned or controlled by Seller or its Affiliates that directly relate to the Manufacture of the Product for Commercialization of the Product in the Territory or Commercialization of the Product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3" w:name="page284"/>
    <w:bookmarkEnd w:id="283"/>
    <w:p>
      <w:pPr>
        <w:jc w:val="both"/>
        <w:spacing w:after="0" w:line="236" w:lineRule="auto"/>
        <w:rPr>
          <w:sz w:val="20"/>
          <w:szCs w:val="20"/>
          <w:color w:val="auto"/>
        </w:rPr>
      </w:pPr>
      <w:r>
        <w:rPr>
          <w:rFonts w:ascii="Times New Roman" w:cs="Times New Roman" w:eastAsia="Times New Roman" w:hAnsi="Times New Roman"/>
          <w:sz w:val="22"/>
          <w:szCs w:val="22"/>
          <w:color w:val="auto"/>
        </w:rPr>
        <w:t>in the Territory (“</w:t>
      </w:r>
      <w:r>
        <w:rPr>
          <w:rFonts w:ascii="Times New Roman" w:cs="Times New Roman" w:eastAsia="Times New Roman" w:hAnsi="Times New Roman"/>
          <w:sz w:val="22"/>
          <w:szCs w:val="22"/>
          <w:u w:val="single" w:color="auto"/>
          <w:color w:val="auto"/>
        </w:rPr>
        <w:t>Existing Patents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the Seller is the sole and exclusive registered owner of all the Existing Patents.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specifies the respective patent or patent application numbers as to each listed Patent or patent application within the Existing Patents.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specifies any Person other than the Seller owning or having an interest in any Existing Patent, including the nature of such interest.</w:t>
      </w:r>
    </w:p>
    <w:p>
      <w:pPr>
        <w:spacing w:after="0" w:line="182" w:lineRule="exact"/>
        <w:rPr>
          <w:sz w:val="20"/>
          <w:szCs w:val="20"/>
          <w:color w:val="auto"/>
        </w:rPr>
      </w:pPr>
    </w:p>
    <w:p>
      <w:pPr>
        <w:jc w:val="both"/>
        <w:ind w:firstLine="756"/>
        <w:spacing w:after="0" w:line="270" w:lineRule="auto"/>
        <w:tabs>
          <w:tab w:leader="none" w:pos="117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Seller nor any of its Affiliates is a party to any pending, and, to the knowledge of the Seller, there is no threatened, litigation, interference, reexamination, opposition or like procedure involving any of the Existing Patents or other Intellectual Property Rights owned or controlled by Seller or any of its Affiliates that directly relates to the Manufacture of the Product for Commercialization of the Product in the Territory or Commercialization of the Product in the Territory (“</w:t>
      </w:r>
      <w:r>
        <w:rPr>
          <w:rFonts w:ascii="Times New Roman" w:cs="Times New Roman" w:eastAsia="Times New Roman" w:hAnsi="Times New Roman"/>
          <w:sz w:val="20"/>
          <w:szCs w:val="20"/>
          <w:u w:val="single" w:color="auto"/>
          <w:color w:val="auto"/>
        </w:rPr>
        <w:t>Product IP</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756"/>
        <w:spacing w:after="0" w:line="236" w:lineRule="auto"/>
        <w:tabs>
          <w:tab w:leader="none" w:pos="117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issued Patents within the Existing Patents are enforceable, in full force and effect, and have not lapsed, expired or otherwise terminated and, to the knowledge of the Seller, are valid. None of the Seller nor any of its Affiliates has received any written notice relating to the lapse, expiration or other termination of any of the issued Patents within the Existing Patents. None of the Seller nor any of its Affiliates has received any written notice or written legal opinion from a Third Party that alleges that any Product IP is invalid or unenforceable.</w:t>
      </w:r>
    </w:p>
    <w:p>
      <w:pPr>
        <w:spacing w:after="0" w:line="182"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nor any of its Affiliates has received any written notice that there is any, and, to the knowledge of the Seller, there is no, Person who is or claims to be an inventor under any of the Existing Patent who is not a named inventor thereof.</w:t>
      </w:r>
    </w:p>
    <w:p>
      <w:pPr>
        <w:spacing w:after="0" w:line="176" w:lineRule="exact"/>
        <w:rPr>
          <w:rFonts w:ascii="Times New Roman" w:cs="Times New Roman" w:eastAsia="Times New Roman" w:hAnsi="Times New Roman"/>
          <w:sz w:val="22"/>
          <w:szCs w:val="22"/>
          <w:color w:val="auto"/>
        </w:rPr>
      </w:pPr>
    </w:p>
    <w:p>
      <w:pPr>
        <w:ind w:right="20" w:firstLine="756"/>
        <w:spacing w:after="0" w:line="255" w:lineRule="auto"/>
        <w:tabs>
          <w:tab w:leader="none" w:pos="117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or its Affiliate has paid all maintenance fees, annuities and like payments required with respect to all of the Existing Patent.</w:t>
      </w:r>
    </w:p>
    <w:p>
      <w:pPr>
        <w:spacing w:after="0" w:line="161" w:lineRule="exact"/>
        <w:rPr>
          <w:rFonts w:ascii="Times New Roman" w:cs="Times New Roman" w:eastAsia="Times New Roman" w:hAnsi="Times New Roman"/>
          <w:sz w:val="22"/>
          <w:szCs w:val="22"/>
          <w:color w:val="auto"/>
        </w:rPr>
      </w:pPr>
    </w:p>
    <w:p>
      <w:pPr>
        <w:jc w:val="both"/>
        <w:ind w:firstLine="756"/>
        <w:spacing w:after="0" w:line="278" w:lineRule="auto"/>
        <w:tabs>
          <w:tab w:leader="none" w:pos="117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 the Commercialization of the Product in the Territory and the Manufacture of the Product for Commercialization of the Product in the Territory has not and will not, infringe, misappropriate or otherwise violate any Patent or other Intellectual Property Rights of any Third Party as of the Effective Date (without reference to any safe harbor).</w:t>
      </w:r>
    </w:p>
    <w:p>
      <w:pPr>
        <w:spacing w:after="0" w:line="14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4.11 Title to Revenue Participation Right; No Liens</w:t>
      </w:r>
      <w:r>
        <w:rPr>
          <w:rFonts w:ascii="Times New Roman" w:cs="Times New Roman" w:eastAsia="Times New Roman" w:hAnsi="Times New Roman"/>
          <w:sz w:val="22"/>
          <w:szCs w:val="22"/>
          <w:color w:val="auto"/>
        </w:rPr>
        <w:t xml:space="preserve"> . The Seller and/or its Affiliates holds all rights, interests, and title necessary to sell, transfer, assign and convey the Revenue Participation Right to the Buyer. From and after the Effective Date, the Buyer will have acquired, subject to the terms and conditions set forth in this Agreement, good and marketable title to the Revenue Participation Right and Revenue Payments, in each case free and clear of all Liens (other than the Back-Up Security Interest, which shall be a first priority Lien). None of the property or assets of the Seller or any of its Affiliates (other than the Revenue Participation Right and Revenue Payments, which are covered by the immediately preceding sentence) is subject to, or encumbered by, any Lien. The Seller, together with the Parent, [***], holds all rights, interests, and title necessary to fully grant or authorize the grant of the Back-Up Security Interest.</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u w:val="single" w:color="auto"/>
          <w:color w:val="auto"/>
        </w:rPr>
        <w:t>Section 4.12 Indebtedness</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xml:space="preserve"> of the Disclosure Schedule sets forth a complete list of the outstanding Indebtedness of, or incurred by, the Seller and its Affiliates.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4" w:name="page285"/>
    <w:bookmarkEnd w:id="284"/>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4.13 Lien Related Representation and Warranties</w:t>
      </w:r>
      <w:r>
        <w:rPr>
          <w:rFonts w:ascii="Times New Roman" w:cs="Times New Roman" w:eastAsia="Times New Roman" w:hAnsi="Times New Roman"/>
          <w:sz w:val="22"/>
          <w:szCs w:val="22"/>
          <w:color w:val="auto"/>
        </w:rPr>
        <w:t xml:space="preserve"> . The Seller’s exact legal name (as defined in Section 9-503 of the UCC) is, and since March 13, 2016 has been, “Ascendis Pharma Endocrinology Division A/S” and, from ten (10) years prior to the Effective Date up until March 13, 2016, the Seller’s exact legal name was “</w:t>
      </w:r>
      <w:r>
        <w:rPr>
          <w:rFonts w:ascii="Times New Roman" w:cs="Times New Roman" w:eastAsia="Times New Roman" w:hAnsi="Times New Roman"/>
          <w:sz w:val="22"/>
          <w:szCs w:val="22"/>
          <w:color w:val="1A1A1A"/>
        </w:rPr>
        <w:t>ASCENDIS PHARMA, GROWTH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A1A1A"/>
        </w:rPr>
        <w:t>DISORDERS DIVISION A/S”</w:t>
      </w:r>
      <w:r>
        <w:rPr>
          <w:rFonts w:ascii="Times New Roman" w:cs="Times New Roman" w:eastAsia="Times New Roman" w:hAnsi="Times New Roman"/>
          <w:sz w:val="22"/>
          <w:szCs w:val="22"/>
          <w:color w:val="000000"/>
        </w:rPr>
        <w:t>. The Seller is, and for the prior ten (10) years has been, a corporation and incorporated in</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000000"/>
        </w:rPr>
        <w:t>Denmark. The Parent’s exact legal name (as defined in Section 9-503 of the UCC) is, and for the immediately preceding ten (10) years has been, “Ascendis Pharma A/S”. The Parent is, and since February 2, 2015 has been, a public limited liability company (</w:t>
      </w:r>
      <w:r>
        <w:rPr>
          <w:rFonts w:ascii="Times New Roman" w:cs="Times New Roman" w:eastAsia="Times New Roman" w:hAnsi="Times New Roman"/>
          <w:sz w:val="22"/>
          <w:szCs w:val="22"/>
          <w:i w:val="1"/>
          <w:iCs w:val="1"/>
          <w:color w:val="000000"/>
        </w:rPr>
        <w:t>Aktieselskab</w:t>
      </w:r>
      <w:r>
        <w:rPr>
          <w:rFonts w:ascii="Times New Roman" w:cs="Times New Roman" w:eastAsia="Times New Roman" w:hAnsi="Times New Roman"/>
          <w:sz w:val="22"/>
          <w:szCs w:val="22"/>
          <w:color w:val="000000"/>
        </w:rPr>
        <w:t>) organized under the laws of Denmark.</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4.14 Brokers’ Fees</w:t>
      </w:r>
      <w:r>
        <w:rPr>
          <w:rFonts w:ascii="Times New Roman" w:cs="Times New Roman" w:eastAsia="Times New Roman" w:hAnsi="Times New Roman"/>
          <w:sz w:val="22"/>
          <w:szCs w:val="22"/>
          <w:color w:val="auto"/>
        </w:rPr>
        <w:t>. Except for Evercore Group L.L.C., there is no investment banker, broker, finder, financial advisor or other intermediary who has been retained by or is authorized to act on behalf of the Seller or any of its Affiliate who might be entitled to any fee or commission in connection with the transactions contemplated by this Agreement.</w:t>
      </w:r>
    </w:p>
    <w:p>
      <w:pPr>
        <w:spacing w:after="0" w:line="176"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u w:val="single" w:color="auto"/>
          <w:color w:val="auto"/>
        </w:rPr>
        <w:t>Section 4.15 Foreign Corrupt Practices Act</w:t>
      </w:r>
      <w:r>
        <w:rPr>
          <w:rFonts w:ascii="Times New Roman" w:cs="Times New Roman" w:eastAsia="Times New Roman" w:hAnsi="Times New Roman"/>
          <w:sz w:val="22"/>
          <w:szCs w:val="22"/>
          <w:color w:val="auto"/>
        </w:rPr>
        <w:t>. None of the Seller or its Affiliates nor, to the knowledge of Seller, any of its or their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Seller or any of its Affiliates in obtaining or retaining business for or with, or directing business to, any person. None of the Seller or any of its Affiliates nor, to the knowledge of Seller, any of its or their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Affiliates to maintain, systems of internal controls (including, but not limited to, accounting systems, purchasing systems and billing systems) and written policies designed to ensure compliance with the FCPA or any other applicable anti-bribery or anti-corruption law. To the knowledge of the Seller, neither the Seller nor any of its Affiliates or its or their officers, directors or employees are the subject of any allegation, voluntary disclosure, investigation, prosecution or other enforcement action related to the FCPA or any other anti-corruption law.</w:t>
      </w:r>
    </w:p>
    <w:p>
      <w:pPr>
        <w:spacing w:after="0" w:line="194"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4.16</w:t>
      </w:r>
      <w:r>
        <w:rPr>
          <w:sz w:val="20"/>
          <w:szCs w:val="20"/>
          <w:color w:val="auto"/>
        </w:rPr>
        <w:tab/>
      </w:r>
      <w:r>
        <w:rPr>
          <w:rFonts w:ascii="Times New Roman" w:cs="Times New Roman" w:eastAsia="Times New Roman" w:hAnsi="Times New Roman"/>
          <w:sz w:val="20"/>
          <w:szCs w:val="20"/>
          <w:u w:val="single" w:color="auto"/>
          <w:color w:val="auto"/>
        </w:rPr>
        <w:t>Additional Products</w:t>
      </w:r>
      <w:r>
        <w:rPr>
          <w:rFonts w:ascii="Times New Roman" w:cs="Times New Roman" w:eastAsia="Times New Roman" w:hAnsi="Times New Roman"/>
          <w:sz w:val="20"/>
          <w:szCs w:val="20"/>
          <w:color w:val="auto"/>
        </w:rPr>
        <w:t>. [***], other than the Product.</w:t>
      </w:r>
    </w:p>
    <w:p>
      <w:pPr>
        <w:spacing w:after="0" w:line="2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ARTICLE 5</w:t>
      </w:r>
    </w:p>
    <w:p>
      <w:pPr>
        <w:spacing w:after="0" w:line="13" w:lineRule="exact"/>
        <w:rPr>
          <w:sz w:val="20"/>
          <w:szCs w:val="20"/>
          <w:color w:val="auto"/>
        </w:rPr>
      </w:pPr>
    </w:p>
    <w:p>
      <w:pPr>
        <w:ind w:right="2920" w:firstLine="2812"/>
        <w:spacing w:after="0" w:line="422" w:lineRule="auto"/>
        <w:rPr>
          <w:sz w:val="20"/>
          <w:szCs w:val="20"/>
          <w:color w:val="auto"/>
        </w:rPr>
      </w:pPr>
      <w:r>
        <w:rPr>
          <w:rFonts w:ascii="Times New Roman" w:cs="Times New Roman" w:eastAsia="Times New Roman" w:hAnsi="Times New Roman"/>
          <w:sz w:val="22"/>
          <w:szCs w:val="22"/>
          <w:color w:val="auto"/>
        </w:rPr>
        <w:t>REPRESENTATIONS AND WARRANTIES OF THE BUYER The Buyer hereby represents and warrants to the Seller that as of the Effective Date:</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 Existence; Good Standing</w:t>
      </w:r>
      <w:r>
        <w:rPr>
          <w:rFonts w:ascii="Times New Roman" w:cs="Times New Roman" w:eastAsia="Times New Roman" w:hAnsi="Times New Roman"/>
          <w:sz w:val="22"/>
          <w:szCs w:val="22"/>
          <w:color w:val="auto"/>
        </w:rPr>
        <w:t>. The Buyer is a limited liability company duly organized, validly existing and in good standing under the laws of Delaware. The Buyer is duly licensed or qualified to do business and is in good standing in each jurisdiction in which the nature of the business conducted by it or the character or location of the properties and assets owned,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5" w:name="page286"/>
    <w:bookmarkEnd w:id="285"/>
    <w:p>
      <w:pPr>
        <w:jc w:val="both"/>
        <w:spacing w:after="0" w:line="242" w:lineRule="auto"/>
        <w:rPr>
          <w:sz w:val="20"/>
          <w:szCs w:val="20"/>
          <w:color w:val="auto"/>
        </w:rPr>
      </w:pPr>
      <w:r>
        <w:rPr>
          <w:rFonts w:ascii="Times New Roman" w:cs="Times New Roman" w:eastAsia="Times New Roman" w:hAnsi="Times New Roman"/>
          <w:sz w:val="22"/>
          <w:szCs w:val="22"/>
          <w:color w:val="auto"/>
        </w:rPr>
        <w:t>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5.2 Authorization</w:t>
      </w:r>
      <w:r>
        <w:rPr>
          <w:rFonts w:ascii="Times New Roman" w:cs="Times New Roman" w:eastAsia="Times New Roman" w:hAnsi="Times New Roman"/>
          <w:sz w:val="22"/>
          <w:szCs w:val="22"/>
          <w:color w:val="auto"/>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5.3 Enforceability</w:t>
      </w:r>
      <w:r>
        <w:rPr>
          <w:rFonts w:ascii="Times New Roman" w:cs="Times New Roman" w:eastAsia="Times New Roman" w:hAnsi="Times New Roman"/>
          <w:sz w:val="22"/>
          <w:szCs w:val="22"/>
          <w:color w:val="auto"/>
        </w:rPr>
        <w:t xml:space="preserve"> .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5.4 No Conflicts . The execution, delivery and performance by the Buyer of this Agreement and the consummation of the transactions contemplated hereby do not and will not (i) contravene or conflict with the organizational documents of the Buyer, (ii) contravene or conflict with or constitute a material default under any material provision of any law binding upon or applicable to the Buyer or (iii) contravene or conflict with or constitute a material default under any material agreement or Judgment binding upon or applicable to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-643890</wp:posOffset>
            </wp:positionV>
            <wp:extent cx="162496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7">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5.5 Consents</w:t>
      </w:r>
      <w:r>
        <w:rPr>
          <w:rFonts w:ascii="Times New Roman" w:cs="Times New Roman" w:eastAsia="Times New Roman" w:hAnsi="Times New Roman"/>
          <w:sz w:val="22"/>
          <w:szCs w:val="22"/>
          <w:color w:val="auto"/>
        </w:rPr>
        <w:t xml:space="preserve"> . Except for the filing of financial statement(s) in accordance with Section 2.3 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5.6 No Litigation</w:t>
      </w:r>
      <w:r>
        <w:rPr>
          <w:rFonts w:ascii="Times New Roman" w:cs="Times New Roman" w:eastAsia="Times New Roman" w:hAnsi="Times New Roman"/>
          <w:sz w:val="22"/>
          <w:szCs w:val="22"/>
          <w:color w:val="auto"/>
        </w:rPr>
        <w:t>. There is no action, claim, suit, investigation or proceeding pending or, to the knowledge of the Buyer, threatened before any Governmental Entity to which the Buyer is a party that would reasonably be expected to prevent or materially and adversely affect the ability of the Buyer to perform its obligations under this Agreement.</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u w:val="single" w:color="auto"/>
          <w:color w:val="auto"/>
        </w:rPr>
        <w:t>Section 5.7 Financing</w:t>
      </w:r>
      <w:r>
        <w:rPr>
          <w:rFonts w:ascii="Times New Roman" w:cs="Times New Roman" w:eastAsia="Times New Roman" w:hAnsi="Times New Roman"/>
          <w:sz w:val="22"/>
          <w:szCs w:val="22"/>
          <w:color w:val="auto"/>
        </w:rPr>
        <w:t xml:space="preserve"> . The Buyer has sufficient cash to pay the Purchase Price on the Effective Date. The Buyer acknowledges that its obligations under this Agreement are not contingent on obtaining financing.</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5.8 Brokers’ Fees</w:t>
      </w:r>
      <w:r>
        <w:rPr>
          <w:rFonts w:ascii="Times New Roman" w:cs="Times New Roman" w:eastAsia="Times New Roman" w:hAnsi="Times New Roman"/>
          <w:sz w:val="22"/>
          <w:szCs w:val="22"/>
          <w:color w:val="auto"/>
        </w:rPr>
        <w:t xml:space="preserve"> .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6</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 OTHER REPRESENTATIONS AND WARRANTIES.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6" w:name="page287"/>
    <w:bookmarkEnd w:id="286"/>
    <w:p>
      <w:pPr>
        <w:jc w:val="both"/>
        <w:spacing w:after="0" w:line="261" w:lineRule="auto"/>
        <w:rPr>
          <w:sz w:val="20"/>
          <w:szCs w:val="20"/>
          <w:color w:val="auto"/>
        </w:rPr>
      </w:pPr>
      <w:r>
        <w:rPr>
          <w:rFonts w:ascii="Times New Roman" w:cs="Times New Roman" w:eastAsia="Times New Roman" w:hAnsi="Times New Roman"/>
          <w:sz w:val="20"/>
          <w:szCs w:val="20"/>
          <w:color w:val="auto"/>
        </w:rPr>
        <w:t>EXCEPT FOR THE EXPRESS WARRANTIES SET FORTH IN THIS AGREEMENT AND ANY DOCUMENTS OR INSTRUMENTS DELIVERED HEREUNDER, NONE OF THE PARTIES HERETO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7</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7.1</w:t>
      </w:r>
      <w:r>
        <w:rPr>
          <w:sz w:val="20"/>
          <w:szCs w:val="20"/>
          <w:color w:val="auto"/>
        </w:rPr>
        <w:tab/>
      </w:r>
      <w:r>
        <w:rPr>
          <w:rFonts w:ascii="Times New Roman" w:cs="Times New Roman" w:eastAsia="Times New Roman" w:hAnsi="Times New Roman"/>
          <w:sz w:val="20"/>
          <w:szCs w:val="20"/>
          <w:u w:val="single" w:color="auto"/>
          <w:color w:val="auto"/>
        </w:rPr>
        <w:t>Seller Diligence Requirements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34" w:lineRule="auto"/>
        <w:tabs>
          <w:tab w:leader="none" w:pos="117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directly or indirectly through its Affiliates or any Licensees, use Commercially Reasonable Efforts to Manufacture the Product for Commercialization in the Territory and Commercialize the Product in the Territory for the Current Indication and, following Marketing Approval in the Territory thereof, the New Indication. In furtherance of the foregoing, the Seller shall and shall cause its Affiliates to use Commercially Reasonable Efforts to prepare, execute, deliver and file any and all agreements, documents or instruments that are necessary or desirable to secure and maintain any Marketing Approval that is necessary or useful to Manufacture and Commercialize the Product in the Territory for each Indication, and the Seller shall not, and shall cause its Affiliates to not, withdraw or abandon, or fail to take any action necessary to prevent the withdrawal or abandonment of, any Marketing Approval for the Product in the Territory.</w:t>
      </w:r>
    </w:p>
    <w:p>
      <w:pPr>
        <w:spacing w:after="0" w:line="179" w:lineRule="exact"/>
        <w:rPr>
          <w:rFonts w:ascii="Times New Roman" w:cs="Times New Roman" w:eastAsia="Times New Roman" w:hAnsi="Times New Roman"/>
          <w:sz w:val="22"/>
          <w:szCs w:val="22"/>
          <w:color w:val="auto"/>
        </w:rPr>
      </w:pPr>
    </w:p>
    <w:p>
      <w:pPr>
        <w:jc w:val="both"/>
        <w:ind w:firstLine="756"/>
        <w:spacing w:after="0" w:line="235" w:lineRule="auto"/>
        <w:tabs>
          <w:tab w:leader="none" w:pos="117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directly or indirectly through its Affiliates, (i) use Commercially Reasonable Efforts to complete the Clinical Trials that are active as of the Effective Date to test the safety and effectiveness of the Product to treat [***] (the “</w:t>
      </w:r>
      <w:r>
        <w:rPr>
          <w:rFonts w:ascii="Times New Roman" w:cs="Times New Roman" w:eastAsia="Times New Roman" w:hAnsi="Times New Roman"/>
          <w:sz w:val="22"/>
          <w:szCs w:val="22"/>
          <w:u w:val="single" w:color="auto"/>
          <w:color w:val="auto"/>
        </w:rPr>
        <w:t>New Indication</w:t>
      </w:r>
      <w:r>
        <w:rPr>
          <w:rFonts w:ascii="Times New Roman" w:cs="Times New Roman" w:eastAsia="Times New Roman" w:hAnsi="Times New Roman"/>
          <w:sz w:val="22"/>
          <w:szCs w:val="22"/>
          <w:color w:val="auto"/>
        </w:rPr>
        <w:t>” and, together with the Current Indication, the “</w:t>
      </w:r>
      <w:r>
        <w:rPr>
          <w:rFonts w:ascii="Times New Roman" w:cs="Times New Roman" w:eastAsia="Times New Roman" w:hAnsi="Times New Roman"/>
          <w:sz w:val="22"/>
          <w:szCs w:val="22"/>
          <w:u w:val="single" w:color="auto"/>
          <w:color w:val="auto"/>
        </w:rPr>
        <w:t>Indications</w:t>
      </w:r>
      <w:r>
        <w:rPr>
          <w:rFonts w:ascii="Times New Roman" w:cs="Times New Roman" w:eastAsia="Times New Roman" w:hAnsi="Times New Roman"/>
          <w:sz w:val="22"/>
          <w:szCs w:val="22"/>
          <w:color w:val="auto"/>
        </w:rPr>
        <w:t>”), and, (ii) upon [***] in any such Clinical Trial, (x) file for Marketing Approval in the Territory for the Product in the New Indication, using Commercially Reasonable Efforts to make such filing [***] and (y) use Commercially Reasonable Efforts to obtain Marketing Approval in the Territory for the Product in the New Indication.</w:t>
      </w:r>
    </w:p>
    <w:p>
      <w:pPr>
        <w:spacing w:after="0" w:line="18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7.2</w:t>
      </w:r>
      <w:r>
        <w:rPr>
          <w:sz w:val="20"/>
          <w:szCs w:val="20"/>
          <w:color w:val="auto"/>
        </w:rPr>
        <w:tab/>
      </w: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34" w:lineRule="auto"/>
        <w:tabs>
          <w:tab w:leader="none" w:pos="117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the Seller shall provide the Buyer promptly following the end of each Calendar Quarter, but in any event no later than [***]calendar days after the end of such Calendar Quarter, a reasonably detailed report (the “</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setting forth, with respect to such same period, (i) the Commercial Updates and (ii) the Intellectual Property Updates. The Seller shall also provide the Buyer with such additional information directly related to the Product in the Territory (including with respect to Clinical Trial and Marketing Approval matters relating to the New Indication) as the Buyer may reasonably request from time to time in writing, no more frequently than [***], which additional information the Seller may provide orally.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7" w:name="page288"/>
    <w:bookmarkEnd w:id="287"/>
    <w:p>
      <w:pPr>
        <w:jc w:val="both"/>
        <w:ind w:firstLine="756"/>
        <w:spacing w:after="0" w:line="242" w:lineRule="auto"/>
        <w:tabs>
          <w:tab w:leader="none" w:pos="117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prepare and maintain and shall cause its Affiliates and any Licensees to prepare and maintain reasonably complete and accurate records of the information to be disclosed in each Quarterly Report. In addition, the Seller shall provide the Buyer with prompt (and in any event within [***] Business Days) written notice of any Safety Notices.</w:t>
      </w:r>
    </w:p>
    <w:p>
      <w:pPr>
        <w:spacing w:after="0" w:line="176"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7.3</w:t>
      </w:r>
      <w:r>
        <w:rPr>
          <w:sz w:val="20"/>
          <w:szCs w:val="20"/>
          <w:color w:val="auto"/>
        </w:rPr>
        <w:tab/>
      </w:r>
      <w:r>
        <w:rPr>
          <w:rFonts w:ascii="Times New Roman" w:cs="Times New Roman" w:eastAsia="Times New Roman" w:hAnsi="Times New Roman"/>
          <w:sz w:val="20"/>
          <w:szCs w:val="20"/>
          <w:u w:val="single" w:color="auto"/>
          <w:color w:val="auto"/>
        </w:rPr>
        <w:t>Revenue Payments; Revenue Payment Details; Buy-Out Payment</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42" w:lineRule="auto"/>
        <w:tabs>
          <w:tab w:leader="none" w:pos="117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Quarter occurring (in whole or in part) during the Revenue Payment Term, the Seller shall pay to the Buyer the Revenue Payment for each such Calendar Quarter promptly, but in any event no later than [***] calendar days after the end of each such Calendar Quarter.</w:t>
      </w:r>
    </w:p>
    <w:p>
      <w:pPr>
        <w:spacing w:after="0" w:line="176" w:lineRule="exact"/>
        <w:rPr>
          <w:rFonts w:ascii="Times New Roman" w:cs="Times New Roman" w:eastAsia="Times New Roman" w:hAnsi="Times New Roman"/>
          <w:sz w:val="22"/>
          <w:szCs w:val="22"/>
          <w:color w:val="auto"/>
        </w:rPr>
      </w:pPr>
    </w:p>
    <w:p>
      <w:pPr>
        <w:jc w:val="both"/>
        <w:ind w:firstLine="756"/>
        <w:spacing w:after="0" w:line="235" w:lineRule="auto"/>
        <w:tabs>
          <w:tab w:leader="none" w:pos="117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Buyer has complied with its obligations under Section 3.5 of this Agreement (and, if applicable, any assignee has provided Seller with a valid and properly executed IRS Form W-9 or applicable IRS Form W-8 confirming that no withholding is required for U.S. federal income tax purposes), the Seller shall make all payments required to be made by it to the Buyer pursuant to this Agreement in U.S. dollars by wire transfer of immediately available funds, without set-off, reduction or deduction, or withholding for or on account of any Taxes, to the bank account designated in writing from time to time by the Buyer.</w:t>
      </w:r>
    </w:p>
    <w:p>
      <w:pPr>
        <w:spacing w:after="0" w:line="181" w:lineRule="exact"/>
        <w:rPr>
          <w:rFonts w:ascii="Times New Roman" w:cs="Times New Roman" w:eastAsia="Times New Roman" w:hAnsi="Times New Roman"/>
          <w:sz w:val="22"/>
          <w:szCs w:val="22"/>
          <w:color w:val="auto"/>
        </w:rPr>
      </w:pPr>
    </w:p>
    <w:p>
      <w:pPr>
        <w:jc w:val="both"/>
        <w:ind w:firstLine="756"/>
        <w:spacing w:after="0" w:line="234" w:lineRule="auto"/>
        <w:tabs>
          <w:tab w:leader="none" w:pos="117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Quarter occurring (in whole or in part) during the Revenue Payment Term, the Seller shall provide the Buyer promptly following the end of such Calendar Quarter, but in any event no later than [***] calendar days after the end of such Calendar Quarter or promptly after the Seller has issued quarterly or annually financial statements for public use, if later than [***] calendar days after the end of the applicable Calendar Quarter, a report (a “</w:t>
      </w:r>
      <w:r>
        <w:rPr>
          <w:rFonts w:ascii="Times New Roman" w:cs="Times New Roman" w:eastAsia="Times New Roman" w:hAnsi="Times New Roman"/>
          <w:sz w:val="22"/>
          <w:szCs w:val="22"/>
          <w:u w:val="single" w:color="auto"/>
          <w:color w:val="auto"/>
        </w:rPr>
        <w:t>Revenue Report</w:t>
      </w:r>
      <w:r>
        <w:rPr>
          <w:rFonts w:ascii="Times New Roman" w:cs="Times New Roman" w:eastAsia="Times New Roman" w:hAnsi="Times New Roman"/>
          <w:sz w:val="22"/>
          <w:szCs w:val="22"/>
          <w:color w:val="auto"/>
        </w:rPr>
        <w:t>”) setting forth in reasonable detail (i) Gross Sales and Net Sales for such Calendar Quarter and Calendar Year to date (including a detailed break-down of all permitted deductions from Gross Sales used to determine Net Sales [***]), and (ii) the calculation of the Revenue Payment payable to the Buyer for the applicable Calendar Quarter, identifying [***] sold by the Seller, its Affiliates and each Licensee in the Territory.</w:t>
      </w:r>
    </w:p>
    <w:p>
      <w:pPr>
        <w:spacing w:after="0" w:line="179"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term of this Agreement:</w:t>
      </w:r>
    </w:p>
    <w:p>
      <w:pPr>
        <w:spacing w:after="0" w:line="204" w:lineRule="exact"/>
        <w:rPr>
          <w:rFonts w:ascii="Times New Roman" w:cs="Times New Roman" w:eastAsia="Times New Roman" w:hAnsi="Times New Roman"/>
          <w:sz w:val="22"/>
          <w:szCs w:val="22"/>
          <w:color w:val="auto"/>
        </w:rPr>
      </w:pPr>
    </w:p>
    <w:p>
      <w:pPr>
        <w:jc w:val="both"/>
        <w:ind w:left="1500" w:firstLine="754"/>
        <w:spacing w:after="0" w:line="234" w:lineRule="auto"/>
        <w:tabs>
          <w:tab w:leader="none" w:pos="2679"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or one or more of its Affiliates enters into a definitive agreement for or otherwise obtains knowledge of a Change of Control, the Seller shall provide prompt (and in any event within [***] Business Days) written notice thereof to the Buyer, which notice shall include reasonable detail as to the Change of Control, including the parties to such Change of Control; and if a Change of Control occurs or is consummated, the Seller shall, concurrently with the occurrence or consummation of such Change of Control pay (or cause to be paid) to the Buyer the Buy-Out Payment by wire transfer of immediately available funds to one or more accounts specified by the Buyer; or</w:t>
      </w:r>
    </w:p>
    <w:p>
      <w:pPr>
        <w:spacing w:after="0" w:line="183" w:lineRule="exact"/>
        <w:rPr>
          <w:rFonts w:ascii="Times New Roman" w:cs="Times New Roman" w:eastAsia="Times New Roman" w:hAnsi="Times New Roman"/>
          <w:sz w:val="22"/>
          <w:szCs w:val="22"/>
          <w:color w:val="010000"/>
        </w:rPr>
      </w:pPr>
    </w:p>
    <w:p>
      <w:pPr>
        <w:jc w:val="both"/>
        <w:ind w:left="1500" w:right="20" w:firstLine="754"/>
        <w:spacing w:after="0" w:line="242" w:lineRule="auto"/>
        <w:tabs>
          <w:tab w:leader="none" w:pos="2706"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desires to pay the Buy-Out Payment and terminate this Agreement, the Seller shall provide the Buyer with written notice (“</w:t>
      </w:r>
      <w:r>
        <w:rPr>
          <w:rFonts w:ascii="Times New Roman" w:cs="Times New Roman" w:eastAsia="Times New Roman" w:hAnsi="Times New Roman"/>
          <w:sz w:val="22"/>
          <w:szCs w:val="22"/>
          <w:u w:val="single" w:color="auto"/>
          <w:color w:val="auto"/>
        </w:rPr>
        <w:t>Buy-Out Notice</w:t>
      </w:r>
      <w:r>
        <w:rPr>
          <w:rFonts w:ascii="Times New Roman" w:cs="Times New Roman" w:eastAsia="Times New Roman" w:hAnsi="Times New Roman"/>
          <w:sz w:val="22"/>
          <w:szCs w:val="22"/>
          <w:color w:val="auto"/>
        </w:rPr>
        <w:t>”) that the Seller is electing to make the Buy-Out Payment, which election shall be irrevocable, and the Seller shall, on the [***] Business Days following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8" w:name="page289"/>
    <w:bookmarkEnd w:id="288"/>
    <w:p>
      <w:pPr>
        <w:ind w:left="1500"/>
        <w:spacing w:after="0" w:line="255" w:lineRule="auto"/>
        <w:rPr>
          <w:sz w:val="20"/>
          <w:szCs w:val="20"/>
          <w:color w:val="auto"/>
        </w:rPr>
      </w:pPr>
      <w:r>
        <w:rPr>
          <w:rFonts w:ascii="Times New Roman" w:cs="Times New Roman" w:eastAsia="Times New Roman" w:hAnsi="Times New Roman"/>
          <w:sz w:val="22"/>
          <w:szCs w:val="22"/>
          <w:color w:val="auto"/>
        </w:rPr>
        <w:t>delivery of such notice pay to the Buyer the applicable Buy-Out Payment amount by wire transfer of immediately available funds to one or more accounts specified by the Buyer.</w:t>
      </w:r>
    </w:p>
    <w:p>
      <w:pPr>
        <w:spacing w:after="0" w:line="16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7.4</w:t>
      </w:r>
      <w:r>
        <w:rPr>
          <w:sz w:val="20"/>
          <w:szCs w:val="20"/>
          <w:color w:val="auto"/>
        </w:rPr>
        <w:tab/>
      </w:r>
      <w:r>
        <w:rPr>
          <w:rFonts w:ascii="Times New Roman" w:cs="Times New Roman" w:eastAsia="Times New Roman" w:hAnsi="Times New Roman"/>
          <w:sz w:val="20"/>
          <w:szCs w:val="20"/>
          <w:u w:val="single" w:color="auto"/>
          <w:color w:val="auto"/>
        </w:rPr>
        <w:t>Inspections and Audits of the Seller</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jc w:val="both"/>
        <w:ind w:firstLine="756"/>
        <w:spacing w:after="0" w:line="232" w:lineRule="auto"/>
        <w:tabs>
          <w:tab w:leader="none" w:pos="1179"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prior written notice and during normal business hours, the Buyer may cause an inspection and/or audit, by an independent public accounting firm reasonably acceptable to the Seller and subject to a confidentiality agreement between the Seller and such public accounting firm reasonably acceptable to the Seller, the Buyer and such independent public accounting firm, of the Seller’s and its Affiliates’ books of account, for the sole purpose of determining the correctness of the Revenue Payments made under this Agreement.</w:t>
      </w:r>
    </w:p>
    <w:p>
      <w:pPr>
        <w:spacing w:after="0" w:line="179"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inspection and/or audit shall be permitted with respect to the Revenue Payments no more frequently than</w:t>
      </w:r>
    </w:p>
    <w:p>
      <w:pPr>
        <w:spacing w:after="0" w:line="36" w:lineRule="exact"/>
        <w:rPr>
          <w:rFonts w:ascii="Times New Roman" w:cs="Times New Roman" w:eastAsia="Times New Roman" w:hAnsi="Times New Roman"/>
          <w:sz w:val="20"/>
          <w:szCs w:val="20"/>
          <w:color w:val="auto"/>
        </w:rPr>
      </w:pPr>
    </w:p>
    <w:p>
      <w:pPr>
        <w:jc w:val="both"/>
        <w:ind w:firstLine="8"/>
        <w:spacing w:after="0" w:line="231" w:lineRule="auto"/>
        <w:tabs>
          <w:tab w:leader="none" w:pos="55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Calendar Year for the Seller’s and its Affiliates’ books of account for any period commencing [***] preceding the Calendar Year in which the Buyer submits the written request for such inspection and/or audit. In connection with any such inspection and/or audit, upon the Buyer’s request, the Seller and its Affiliates shall exercise any rights it may have under any Out-License relating to the Product to cause an inspection and/or audit by an independent public accounting firm to be made of the books of account of any counterparty thereto for the purpose of determining the correctness of the Revenue Payments made under this Agreement.</w:t>
      </w:r>
    </w:p>
    <w:p>
      <w:pPr>
        <w:spacing w:after="0" w:line="183" w:lineRule="exact"/>
        <w:rPr>
          <w:rFonts w:ascii="Times New Roman" w:cs="Times New Roman" w:eastAsia="Times New Roman" w:hAnsi="Times New Roman"/>
          <w:sz w:val="22"/>
          <w:szCs w:val="22"/>
          <w:color w:val="auto"/>
        </w:rPr>
      </w:pPr>
    </w:p>
    <w:p>
      <w:pPr>
        <w:jc w:val="both"/>
        <w:ind w:firstLine="756"/>
        <w:spacing w:after="0" w:line="233" w:lineRule="auto"/>
        <w:tabs>
          <w:tab w:leader="none" w:pos="1179"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expenses of any inspection or audit requested by the Buyer hereunder (including the fees and expenses of such independent public accounting firm designated for such purpose) shall be borne by (i) the Buyer, if the independent public accounting firm determines that the Revenue Payments previously paid were incorrect by an amount less than or equal to [***] of the Revenue Payments actually paid or (ii) the Seller, if the independent public accounting firm determines that the Revenue Payments previously paid were incorrect by an amount greater than [***] of the Revenue Payments actually paid. Any such independent public accounting firm shall not disclose to the Buyer the confidential information of the Seller or any counterparty to any Out-License relating to the Product except to the extent such disclosure is either necessary to determine the correctness of a Revenue Payment or otherwise would be included in a Quarterly Report or Revenue Report. All information obtained by the Buyer as a result of any such inspection or audit shall be Confidential Information subject to ARTICLE 9.</w:t>
      </w:r>
    </w:p>
    <w:p>
      <w:pPr>
        <w:spacing w:after="0" w:line="184" w:lineRule="exact"/>
        <w:rPr>
          <w:rFonts w:ascii="Times New Roman" w:cs="Times New Roman" w:eastAsia="Times New Roman" w:hAnsi="Times New Roman"/>
          <w:sz w:val="22"/>
          <w:szCs w:val="22"/>
          <w:color w:val="auto"/>
        </w:rPr>
      </w:pPr>
    </w:p>
    <w:p>
      <w:pPr>
        <w:jc w:val="both"/>
        <w:ind w:firstLine="756"/>
        <w:spacing w:after="0" w:line="234" w:lineRule="auto"/>
        <w:tabs>
          <w:tab w:leader="none" w:pos="1179"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Seller disputes any of the inspection and/or audit results of Section 7.4(a), the parties shall work in good faith to resolve the dispute. If the parties are unable to reach a mutually acceptable resolution of any such dispute within [***] days, the dispute shall be submitted for resolution to an independent certified public accounting firm jointly selected by [***] or to such other Person as the parties shall mutually agree (the “Audit Arbitrator”). The decision of Audit Arbitrator shall be final and the costs of such arbitration as well as the initial audit shall be borne between the parties consistent with Section 7.4(c). Not later than [***] days after such decision and in accordance with such decision, the audited party shall pay the additional amounts, with interest from the date originally due, or the auditing party shall reimburse the excess payments, as applicable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9" w:name="page290"/>
    <w:bookmarkEnd w:id="289"/>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7.5</w:t>
      </w:r>
      <w:r>
        <w:rPr>
          <w:sz w:val="20"/>
          <w:szCs w:val="20"/>
          <w:color w:val="auto"/>
        </w:rPr>
        <w:tab/>
      </w:r>
      <w:r>
        <w:rPr>
          <w:rFonts w:ascii="Times New Roman" w:cs="Times New Roman" w:eastAsia="Times New Roman" w:hAnsi="Times New Roman"/>
          <w:sz w:val="20"/>
          <w:szCs w:val="20"/>
          <w:u w:val="single" w:color="auto"/>
          <w:color w:val="auto"/>
        </w:rPr>
        <w:t>Intellectual Property Matters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36" w:lineRule="auto"/>
        <w:tabs>
          <w:tab w:leader="none" w:pos="117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to the Buyer a copy of any written notice received by any Related Party from a Third Party alleging or claiming that the Commercialization of the Product in the Territory or the Manufacture of the Product for Commercialization in the Territory infringes or misappropriates any Patents or other intellectual property rights of a Third Party, together with copies of material correspondence sent or received by any Related Party related thereto, as soon as practicable and in any event not more than [***] Business Days following such delivery or receipt.</w:t>
      </w:r>
    </w:p>
    <w:p>
      <w:pPr>
        <w:spacing w:after="0" w:line="182" w:lineRule="exact"/>
        <w:rPr>
          <w:rFonts w:ascii="Times New Roman" w:cs="Times New Roman" w:eastAsia="Times New Roman" w:hAnsi="Times New Roman"/>
          <w:sz w:val="22"/>
          <w:szCs w:val="22"/>
          <w:color w:val="auto"/>
        </w:rPr>
      </w:pPr>
    </w:p>
    <w:p>
      <w:pPr>
        <w:jc w:val="both"/>
        <w:ind w:firstLine="756"/>
        <w:spacing w:after="0" w:line="232" w:lineRule="auto"/>
        <w:tabs>
          <w:tab w:leader="none" w:pos="117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inform the Buyer upon filing or otherwise submitting a written claim to a Third Party of any infringement or misappropriation by such Third Party of any Patent or other Intellectual Property Right owned or controlled by Seller, Parent or its Affiliates that directly relates to the Commercialization of the Product in the Territory or the Manufacture of the Product for Commercialization in the Territory, or if Seller, Parent or its Affiliates receive a written notice from a Third Party alleging that any such Patent or other Intellectual Property Right owned or controlled by Seller, Parent or its Affiliates that directly relates to the Commercialization of the Product in the Territory or the Manufacture of the Product for Commercialization in the Territory is invalid or unenforceable; provided, that, reasonably prior to the Seller’s or any of its Affiliate’s initiating, or permitting a Licensee to initiate, an enforcement action regarding any suspected infringement or misappropriation by a Third Party of any such Patent or other Intellectual Property Right owned or controlled by Seller, Parent or its Affiliates that directly relates to the Commercialization of the Product in the Territory or the Manufacture of the Product for Commercialization in the Territory, the Seller shall provide the Buyer with written notice of such enforcement action and thereafter shall provide the Buyer with such additional information on a regular basis.</w:t>
      </w:r>
    </w:p>
    <w:p>
      <w:pPr>
        <w:spacing w:after="0" w:line="186"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or shall cause another Related Party to, diligently file, prosecute, and maintain all Patents owned or controlled by Seller that directly relate to the Commercialization of the Product in the Territory or the Manufacture of the Product for Commercialization in the Territory.</w:t>
      </w:r>
    </w:p>
    <w:p>
      <w:pPr>
        <w:spacing w:after="0" w:line="176" w:lineRule="exact"/>
        <w:rPr>
          <w:rFonts w:ascii="Times New Roman" w:cs="Times New Roman" w:eastAsia="Times New Roman" w:hAnsi="Times New Roman"/>
          <w:sz w:val="22"/>
          <w:szCs w:val="22"/>
          <w:color w:val="auto"/>
        </w:rPr>
      </w:pPr>
    </w:p>
    <w:p>
      <w:pPr>
        <w:jc w:val="both"/>
        <w:ind w:firstLine="756"/>
        <w:spacing w:after="0" w:line="236" w:lineRule="auto"/>
        <w:tabs>
          <w:tab w:leader="none" w:pos="117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Seller or any of its Affiliates or Licensees recovers monetary damages from a Third Party, where such damages, whether in the form of judgment or settlement, result from the infringement by such Third Party of any Patents that directly relate to the Commercialization of the Product in the Territory, such recovery will be allocated first to the reimbursement of any expenses incurred by the Seller and its Affiliates or Licensees in bringing such action (including all reasonable attorneys’ fees), and any remaining amounts will be [***].</w:t>
      </w:r>
    </w:p>
    <w:p>
      <w:pPr>
        <w:spacing w:after="0" w:line="18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7.6</w:t>
      </w:r>
      <w:r>
        <w:rPr>
          <w:sz w:val="20"/>
          <w:szCs w:val="20"/>
          <w:color w:val="auto"/>
        </w:rPr>
        <w:tab/>
      </w:r>
      <w:r>
        <w:rPr>
          <w:rFonts w:ascii="Times New Roman" w:cs="Times New Roman" w:eastAsia="Times New Roman" w:hAnsi="Times New Roman"/>
          <w:sz w:val="20"/>
          <w:szCs w:val="20"/>
          <w:u w:val="single" w:color="auto"/>
          <w:color w:val="auto"/>
        </w:rPr>
        <w:t>In-Licenses and Intercompany Agreements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438"/>
        <w:spacing w:after="0" w:line="236" w:lineRule="auto"/>
        <w:tabs>
          <w:tab w:leader="none" w:pos="73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 Business Days) provide the Buyer with (i) executed copies of any In-License entered into by the Seller or any of its Affiliates, and (ii) executed copies of each material amendment, supplement, modification or written waiver of any provision of any In-License. The Seller shall not, and shall cause its Affiliates not to, amend or modify in any material respect, terminate or assign, any In-License that may reasonably materially adversely affect the Buyer’s rights or economic interests under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0" w:name="page291"/>
    <w:bookmarkEnd w:id="290"/>
    <w:p>
      <w:pPr>
        <w:jc w:val="both"/>
        <w:ind w:firstLine="756"/>
        <w:spacing w:after="0" w:line="236" w:lineRule="auto"/>
        <w:tabs>
          <w:tab w:leader="none" w:pos="117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or shall cause its Affiliates (as applicable) to, comply in all material respects with its and their obligations under each In-License and shall not take any action or forego any action that would reasonably be expected to result in a material breach thereof. Promptly, and in any event within [***] Business Days following the Seller’s or its Affiliate’s notice to a counterparty to any In-License of an alleged breach by such counterparty under any such In-License, the Seller shall provide the Buyer with a copy thereof.</w:t>
      </w:r>
    </w:p>
    <w:p>
      <w:pPr>
        <w:spacing w:after="0" w:line="182" w:lineRule="exact"/>
        <w:rPr>
          <w:rFonts w:ascii="Times New Roman" w:cs="Times New Roman" w:eastAsia="Times New Roman" w:hAnsi="Times New Roman"/>
          <w:sz w:val="22"/>
          <w:szCs w:val="22"/>
          <w:color w:val="auto"/>
        </w:rPr>
      </w:pPr>
    </w:p>
    <w:p>
      <w:pPr>
        <w:jc w:val="both"/>
        <w:ind w:firstLine="756"/>
        <w:spacing w:after="0" w:line="232" w:lineRule="auto"/>
        <w:tabs>
          <w:tab w:leader="none" w:pos="117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or will cause its Affiliates to, (i) maintain the Intercompany Agreements in a manner that permits the Seller and its Affiliates to Commercialize the Product in the Territory and Manufacture the Product in or for the Territory in accordance with the terms of this Agreement, and (ii) not assign, transfer, terminate, amend or waive any provision of, or otherwise modify, any Intercompany Agreement in any manner except, in the case of clauses (i) and (ii) above, that would not reasonably be expected to have a Material Adverse Effect, or to the extent otherwise required pursuant to a “determination,” within the meaning of Section 1313(a) of the US Code, or a comparable provision of non-U.S. law. In furtherance of the foregoing, the Seller shall not, and the Parent shall cause [***] not to, assign, transfer, terminate, amend or waive any provision of, or otherwise modify, [***], without obtaining the Buyer’s prior written consent (not to be unreasonably conditioned, withheld or delayed), unless any such termination, amendment, waiver or modification is made [***] as required pursuant to applicable law, including a “determination” within the meaning of Section 1313(a) of the US Code, or a comparable provision of non-U.S. law.</w:t>
      </w:r>
    </w:p>
    <w:p>
      <w:pPr>
        <w:spacing w:after="0" w:line="189"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7.7</w:t>
      </w:r>
      <w:r>
        <w:rPr>
          <w:sz w:val="20"/>
          <w:szCs w:val="20"/>
          <w:color w:val="auto"/>
        </w:rPr>
        <w:tab/>
      </w:r>
      <w:r>
        <w:rPr>
          <w:rFonts w:ascii="Times New Roman" w:cs="Times New Roman" w:eastAsia="Times New Roman" w:hAnsi="Times New Roman"/>
          <w:sz w:val="20"/>
          <w:szCs w:val="20"/>
          <w:u w:val="single" w:color="auto"/>
          <w:color w:val="auto"/>
        </w:rPr>
        <w:t>Out-Licenses and Contract Manufacturing Agreements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38" w:lineRule="auto"/>
        <w:tabs>
          <w:tab w:leader="none" w:pos="117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 Permitted Out-License, the Seller shall not, and shall not permit any of its Affiliates to, enter into an Out-License without the Buyer’s prior written consent. The Seller shall notify the Buyer in writing at least [***] prior to the issuance of any public announcement regarding a Permitted Out-License, which notice shall include a copy of the draft public announcement.</w:t>
      </w:r>
    </w:p>
    <w:p>
      <w:pPr>
        <w:spacing w:after="0" w:line="180" w:lineRule="exact"/>
        <w:rPr>
          <w:rFonts w:ascii="Times New Roman" w:cs="Times New Roman" w:eastAsia="Times New Roman" w:hAnsi="Times New Roman"/>
          <w:sz w:val="22"/>
          <w:szCs w:val="22"/>
          <w:color w:val="auto"/>
        </w:rPr>
      </w:pPr>
    </w:p>
    <w:p>
      <w:pPr>
        <w:jc w:val="both"/>
        <w:ind w:firstLine="756"/>
        <w:spacing w:after="0" w:line="235" w:lineRule="auto"/>
        <w:tabs>
          <w:tab w:leader="none" w:pos="117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and shall cause its Affiliates not to, (i) amend or modify in any material respect, terminate or assign any Out-License (except for a Permitted Out-License) without obtaining the Buyer’s prior written consent (not to be unreasonably conditioned, withheld or delayed) or (ii) amend, modify, terminate or assign any Contract Manufacturing Agreement pursuant to which commercial Manufacturing of the Product is carried out for the Commercialization of the Product in the Territory if such amendment, modification, termination or assignment of or to such Contract Manufacturing Agreement would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 Business Days) provide the Buyer with (i) executed copies of each Out-License, and (ii) executed copies of each material amendment, supplement, modification or written waiver of any provision of an Out-License.</w:t>
      </w:r>
    </w:p>
    <w:p>
      <w:pPr>
        <w:spacing w:after="0" w:line="176" w:lineRule="exact"/>
        <w:rPr>
          <w:rFonts w:ascii="Times New Roman" w:cs="Times New Roman" w:eastAsia="Times New Roman" w:hAnsi="Times New Roman"/>
          <w:sz w:val="22"/>
          <w:szCs w:val="22"/>
          <w:color w:val="auto"/>
        </w:rPr>
      </w:pPr>
    </w:p>
    <w:p>
      <w:pPr>
        <w:jc w:val="both"/>
        <w:ind w:firstLine="756"/>
        <w:spacing w:after="0" w:line="242" w:lineRule="auto"/>
        <w:tabs>
          <w:tab w:leader="none" w:pos="117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prompt (and in any event within [***] Business Days) written notice of a breach by a counterparty to any Out-License of its obligations under any Out-License, in each case of which a member of the Seller’s executive or legal team becomes aware.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1" w:name="page292"/>
    <w:bookmarkEnd w:id="291"/>
    <w:p>
      <w:pPr>
        <w:ind w:right="40" w:firstLine="756"/>
        <w:spacing w:after="0" w:line="255" w:lineRule="auto"/>
        <w:tabs>
          <w:tab w:leader="none" w:pos="117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written notice promptly (and in any event within [***] Business Days) following the termination of any Out-License.</w:t>
      </w:r>
    </w:p>
    <w:p>
      <w:pPr>
        <w:spacing w:after="0" w:line="16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u w:val="single" w:color="auto"/>
          <w:color w:val="auto"/>
        </w:rPr>
        <w:t>Section 7.8 Disclosures</w:t>
      </w:r>
      <w:r>
        <w:rPr>
          <w:rFonts w:ascii="Times New Roman" w:cs="Times New Roman" w:eastAsia="Times New Roman" w:hAnsi="Times New Roman"/>
          <w:sz w:val="20"/>
          <w:szCs w:val="20"/>
          <w:color w:val="auto"/>
        </w:rPr>
        <w:t>. Except for a press release previously approved in form and substance by the Seller and the Buyer or any other public announcement using substantially the same text as such press release, neither the Buyer nor the Seller shall, and each party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except as may be required by applicable law or stock exchange rule (in which case either party required to make the press release or other public announcement or disclosure shall allow the other party reasonable time to comment on, and, if applicable, reasonably request the disclosing party to seek confidential treatment in respect of portions of, such press release or other public announcement or disclosure in advance of such issuance).</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7.9 Post-Closing Obligation</w:t>
      </w:r>
      <w:r>
        <w:rPr>
          <w:rFonts w:ascii="Times New Roman" w:cs="Times New Roman" w:eastAsia="Times New Roman" w:hAnsi="Times New Roman"/>
          <w:sz w:val="22"/>
          <w:szCs w:val="22"/>
          <w:color w:val="auto"/>
        </w:rPr>
        <w:t xml:space="preserve"> . The Seller shall deliver to the Buyer within [***] Business Days after the Effective Date [***]. For the avoidance of doubt, the contents of [***] are Confidential Information of the Seller and subject to the terms and conditions of this Agreement.</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7.10 Efforts to Consummate Transactions</w:t>
      </w:r>
      <w:r>
        <w:rPr>
          <w:rFonts w:ascii="Times New Roman" w:cs="Times New Roman" w:eastAsia="Times New Roman" w:hAnsi="Times New Roman"/>
          <w:sz w:val="22"/>
          <w:szCs w:val="22"/>
          <w:color w:val="auto"/>
        </w:rPr>
        <w:t xml:space="preserve"> . Subject to the terms and conditions of this Agreement, each of the Seller, the Parent and the Buyer will use, and will cause its respective Affiliates to use, its and their commercially reasonable efforts to take, or cause to be taken, all actions and to do, or cause to be done, all things reasonably necessary under applicable law to consummate the transactions contemplated by this Agreement.</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Section 7.11 Further Assurances . The Seller, the Parent and the Buyer agree to execute and deliver such other documents, certificates, agreements and other writings and to take such other actions as may be reasonably necessary in order to give effect to and carry on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-339725</wp:posOffset>
            </wp:positionV>
            <wp:extent cx="19646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4">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7.12 Late Payments</w:t>
      </w:r>
      <w:r>
        <w:rPr>
          <w:rFonts w:ascii="Times New Roman" w:cs="Times New Roman" w:eastAsia="Times New Roman" w:hAnsi="Times New Roman"/>
          <w:sz w:val="22"/>
          <w:szCs w:val="22"/>
          <w:color w:val="auto"/>
        </w:rPr>
        <w:t>. A late fee of the lesser of (a) [***] over the Prime Rate, and (b) the highest rate permitted under applicable law shall accrue on all unpaid amounts with respect to any payment owed to either party hereunder, including the Purchase Price or any Revenue Payment, from the date such obligation was due until the date payment is made. The imposition and payment of a late fee shall not constitute a waiver of the rights of either party with respect to such payment default. [***]</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7.13 Negative Pledge; Preservation of Assets; Lien Cooperation</w:t>
      </w:r>
      <w:r>
        <w:rPr>
          <w:rFonts w:ascii="Times New Roman" w:cs="Times New Roman" w:eastAsia="Times New Roman" w:hAnsi="Times New Roman"/>
          <w:sz w:val="22"/>
          <w:szCs w:val="22"/>
          <w:color w:val="auto"/>
        </w:rPr>
        <w:t>. The Seller and the Parent shall not, and shall not permit any of its respective Affiliates to, create, incur, assume or suffer to exist any Lien on the Revenue Participation Right, the Revenue Payments, the US Product Rights or any “proceeds” (as defined in the UCC) of each of the Revenue Participation Right, the Revenue Payments and the US Product Rights except for (a) the Back-Up Security Interest and (b) as applicable, any Permitted Lien. Notwithstanding anything herein to the contrary, none of the Parent, the Seller nor any of their Affiliates shall take any actions, fail to take any actions, permit any actions, fail to permit any actions, enter into any contracts or arrangements, or amend, restate, supplement, waive any rights under or otherwise modify any contracts or arrangements in a manner that would, individually or in the aggregate, reasonably be expected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2" w:name="page293"/>
    <w:bookmarkEnd w:id="292"/>
    <w:p>
      <w:pPr>
        <w:jc w:val="both"/>
        <w:spacing w:after="0" w:line="232" w:lineRule="auto"/>
        <w:rPr>
          <w:sz w:val="20"/>
          <w:szCs w:val="20"/>
          <w:color w:val="auto"/>
        </w:rPr>
      </w:pPr>
      <w:r>
        <w:rPr>
          <w:rFonts w:ascii="Times New Roman" w:cs="Times New Roman" w:eastAsia="Times New Roman" w:hAnsi="Times New Roman"/>
          <w:sz w:val="22"/>
          <w:szCs w:val="22"/>
          <w:color w:val="auto"/>
        </w:rPr>
        <w:t>adversely affect in any material respect the Revenue Participation Right, the Revenue Payments or the commercial Manufacture of the Product for Commercialization in the Territory or Commercialization of the Product in the Territory, with the intent to circumvent the provisions of, or obligations under, this Agreement. For clarity, this Agreement shall not be construed, understood, or interpreted to limit Seller, Parent or its Affiliates’ rights to (i) enter into any license or other similar arrangements between the Seller or any of its Affiliates, on the one hand, and any Third Party, on the other hand, pursuant to which the Seller or any of its Affiliates grants a license, sublicense or other similar rights under any Intellectual Property Right owned or controlled by the Seller or any of its Affiliates to make, have made, sell, offer for sale, import, use or otherwise exploit (w) the Ascendis Technology outside the Territory, (x) the Ascendis Technology in the Territory for purposes other than the commercial Manufacture or Commercialization of the Product in the Territory to the extent provided under this Agreement, (y) Intellectual Property Rights solely related to a product other than the Product in the Territory or (z) the Product outside the Territory and (ii) enable, permit or grant a Third Party to use or reference the Marketing Approval of the Product in the Territory for purposes outside of the Territory (such actions described in clauses (i) and (ii), a “</w:t>
      </w:r>
      <w:r>
        <w:rPr>
          <w:rFonts w:ascii="Times New Roman" w:cs="Times New Roman" w:eastAsia="Times New Roman" w:hAnsi="Times New Roman"/>
          <w:sz w:val="22"/>
          <w:szCs w:val="22"/>
          <w:u w:val="single" w:color="auto"/>
          <w:color w:val="auto"/>
        </w:rPr>
        <w:t>Permitted Business Development Transaction</w:t>
      </w:r>
      <w:r>
        <w:rPr>
          <w:rFonts w:ascii="Times New Roman" w:cs="Times New Roman" w:eastAsia="Times New Roman" w:hAnsi="Times New Roman"/>
          <w:sz w:val="22"/>
          <w:szCs w:val="22"/>
          <w:color w:val="auto"/>
        </w:rPr>
        <w:t>”). The Buyer agrees to cooperate with Seller, Parent and its Affiliates to reasonably accommodate any Permitted Business Development Transaction or any Permitted Secured Indebtedness, including to adjust, as necessary, the scope or priority of the Back-Up Security Interest.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8</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8.1</w:t>
      </w:r>
      <w:r>
        <w:rPr>
          <w:sz w:val="20"/>
          <w:szCs w:val="20"/>
          <w:color w:val="auto"/>
        </w:rPr>
        <w:tab/>
      </w:r>
      <w:r>
        <w:rPr>
          <w:rFonts w:ascii="Times New Roman" w:cs="Times New Roman" w:eastAsia="Times New Roman" w:hAnsi="Times New Roman"/>
          <w:sz w:val="20"/>
          <w:szCs w:val="20"/>
          <w:u w:val="single" w:color="auto"/>
          <w:color w:val="auto"/>
        </w:rPr>
        <w:t>General Indemnity</w:t>
      </w:r>
      <w:r>
        <w:rPr>
          <w:rFonts w:ascii="Times New Roman" w:cs="Times New Roman" w:eastAsia="Times New Roman" w:hAnsi="Times New Roman"/>
          <w:sz w:val="20"/>
          <w:szCs w:val="20"/>
          <w:color w:val="auto"/>
        </w:rPr>
        <w:t>. Subject to Section 8.3, from and after the Effective Date:</w:t>
      </w:r>
    </w:p>
    <w:p>
      <w:pPr>
        <w:spacing w:after="0" w:line="204" w:lineRule="exact"/>
        <w:rPr>
          <w:sz w:val="20"/>
          <w:szCs w:val="20"/>
          <w:color w:val="auto"/>
        </w:rPr>
      </w:pPr>
    </w:p>
    <w:p>
      <w:pPr>
        <w:jc w:val="both"/>
        <w:ind w:firstLine="756"/>
        <w:spacing w:after="0" w:line="234" w:lineRule="auto"/>
        <w:tabs>
          <w:tab w:leader="none" w:pos="117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Parent hereby agree to, jointly and severally, indemnify, defend and hold harmless the Buyer and its Affiliates and its and their directors, managers, trustees, officers, agents and employees (the “</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from, against and in respect of all Losses suffered or incurred by the Buyer Indemnified Parties to the extent arising out of or resulting from (i) any breach of any of the representations or warranties (in each case, when made) of the Seller or the Parent in this Agreement (including the Bill of Sale [***]) and (ii) any breach of any of the covenants or agreements of the Seller or the Parent in this Agreement (including the Bill of Sale [***]); provided, however, that the foregoing shall exclude any indemnification to any Buyer Indemnified Party to the extent resulting from the gross negligence, willful misconduct, or fraud of any Buyer Indemnified Party.</w:t>
      </w:r>
    </w:p>
    <w:p>
      <w:pPr>
        <w:spacing w:after="0" w:line="179" w:lineRule="exact"/>
        <w:rPr>
          <w:rFonts w:ascii="Times New Roman" w:cs="Times New Roman" w:eastAsia="Times New Roman" w:hAnsi="Times New Roman"/>
          <w:sz w:val="22"/>
          <w:szCs w:val="22"/>
          <w:color w:val="auto"/>
        </w:rPr>
      </w:pPr>
    </w:p>
    <w:p>
      <w:pPr>
        <w:jc w:val="both"/>
        <w:ind w:firstLine="756"/>
        <w:spacing w:after="0" w:line="234" w:lineRule="auto"/>
        <w:tabs>
          <w:tab w:leader="none" w:pos="117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hereby agrees to indemnify, defend and hold harmless the Seller and its Affiliates and its and their directors, officers, agents and employees (the “</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from, against and in respect of all Losses suffered or incurred by the Seller Indemnified Parties to the extent arising out of or resulting from (i) any or breach of any of the representations or warranties (in each case, when made) of the Buyer in this Agreement (including the Bill of Sale) or (ii) any breach of any of the covenants or agreements of the Buyer in this Agreement (including the Bill of Sale); provided, however, that the foregoing shall exclude any indemnification to any Seller Indemnified Party to the extent resulting from the gross negligence, willful misconduct, or fraud of any Seller Indemnified Party.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3" w:name="page294"/>
    <w:bookmarkEnd w:id="293"/>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8.2 Notice of Claims</w:t>
      </w:r>
      <w:r>
        <w:rPr>
          <w:rFonts w:ascii="Times New Roman" w:cs="Times New Roman" w:eastAsia="Times New Roman" w:hAnsi="Times New Roman"/>
          <w:sz w:val="22"/>
          <w:szCs w:val="22"/>
          <w:color w:val="auto"/>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suffered or incurred any Losses for which indemnification may be sought under this ARTICLE 8, the Indemnified Party shall so notify the other party from whom indemnification is sought under this ARTICLE 8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promptly in writing describing such Loss, the amount or estimated amount thereof, if known or reasonably capable of estimation, and the method of computation of such Loss, all with reasonable particularity and containing a reference to the provisions of this Agreement (or the Bill of Sale [***]) in respect of which such Loss shall have occurred. If any claim, action, suit or proceeding is asserted or instituted by or against a Third Party with respect to which an Indemnified Party intends to claim any Loss under this Section 8.2,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p>
    <w:p>
      <w:pPr>
        <w:spacing w:after="0" w:line="18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8.3 Limitations on Liability</w:t>
      </w:r>
      <w:r>
        <w:rPr>
          <w:rFonts w:ascii="Times New Roman" w:cs="Times New Roman" w:eastAsia="Times New Roman" w:hAnsi="Times New Roman"/>
          <w:sz w:val="22"/>
          <w:szCs w:val="22"/>
          <w:color w:val="auto"/>
        </w:rPr>
        <w:t>. No party hereto shall be liable (and no claim for indemnification hereunder shall be asserted) for any indirect, consequential, punitive, special or incidental damages, including loss of profits, under this ARTICLE 8 as a result of any breach or violation of any covenant or agreement of such party (including under this ARTICLE 8) in or pursuant to this Agreement (including the Bill of Sale [***]). Notwithstanding the foregoing, the Buyer shall be entitled to make indemnification claims, in accordance with the procedures set forth in this ARTICLE 8, for Losses that include any portion of the Revenue Payments that the Buyer was entitled to receive but did not receive timely or at all due to any indemnifiable events under this Agreement (including the Bill of Sale [***]), and such portion of the Revenue Payments shall not be deemed indirect, consequential, punitive, special or incidental damages, including loss of profits, for any purpose of this Agreement (including the Bill of Sale [***]).</w:t>
      </w:r>
    </w:p>
    <w:p>
      <w:pPr>
        <w:spacing w:after="0" w:line="18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0"/>
          <w:szCs w:val="20"/>
          <w:u w:val="single" w:color="auto"/>
          <w:color w:val="auto"/>
        </w:rPr>
        <w:t>Section 8.4 Third Party Claims</w:t>
      </w:r>
      <w:r>
        <w:rPr>
          <w:rFonts w:ascii="Times New Roman" w:cs="Times New Roman" w:eastAsia="Times New Roman" w:hAnsi="Times New Roman"/>
          <w:sz w:val="20"/>
          <w:szCs w:val="20"/>
          <w:color w:val="auto"/>
        </w:rPr>
        <w:t>. Upon providing notice to an Indemnifying Party by an Indemnified Party pursuant to Section 8.2 of the commencement of any action, suit or proceeding against such Indemnified Party by a Third Party with respect to which such Indemnified Party intends to claim any Loss under this ARTICLE 8, such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commercially reasonable efforts to cooperate in such defense; provided, that the Indemnifying Party shall bear the Indemnified Party’s reasonable out-of-pocket costs and expenses incurred in connection with such cooperation. The Indemnified Party may retain separate co-counsel at its expense and may participate in the defense of such claim. The Indemnifying Party shall not consent to the entry of any Judgment or enter into any settlement with respect to such claim without the prior written consent of the Indemnified Party unless such Judgment or settlement (A) provides for the payment by the Indemnifying Party of money as the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4" w:name="page295"/>
    <w:bookmarkEnd w:id="294"/>
    <w:p>
      <w:pPr>
        <w:jc w:val="both"/>
        <w:spacing w:after="0" w:line="233" w:lineRule="auto"/>
        <w:rPr>
          <w:sz w:val="20"/>
          <w:szCs w:val="20"/>
          <w:color w:val="auto"/>
        </w:rPr>
      </w:pPr>
      <w:r>
        <w:rPr>
          <w:rFonts w:ascii="Times New Roman" w:cs="Times New Roman" w:eastAsia="Times New Roman" w:hAnsi="Times New Roman"/>
          <w:sz w:val="22"/>
          <w:szCs w:val="22"/>
          <w:color w:val="auto"/>
        </w:rPr>
        <w:t>admission of any violation of any law, rule, regulation or Judgment, or the rights of any Person, and has no effect on any other claims that may be made against the Indemnified Party. In the event the Indemnifying Party does not or ceases to conduct the defense of such claim in compliance with this Section 8.4, (i) the Indemnified Party may defend against, and consent to the entry of any reasonable Judgment or enter into any reasonable settlement with respect to, such claim in any manner such Indemnified Party reasonably deems appropriate, (ii) subject to the limitations in Section 8.3,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8.</w:t>
      </w:r>
    </w:p>
    <w:p>
      <w:pPr>
        <w:spacing w:after="0" w:line="18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8.5 Exclusive Remedy</w:t>
      </w:r>
      <w:r>
        <w:rPr>
          <w:rFonts w:ascii="Times New Roman" w:cs="Times New Roman" w:eastAsia="Times New Roman" w:hAnsi="Times New Roman"/>
          <w:sz w:val="22"/>
          <w:szCs w:val="22"/>
          <w:color w:val="auto"/>
        </w:rPr>
        <w:t>. Except as set forth in Section 11.10, from and after the Effective Date, the rights of the 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 and agreements made under this Agreement or any certificate, document or instrument delivered hereunder (including the Bill of Sale [***]), and each party hereto hereby waives, to the fullest extent permitted under applicable law, and agrees not to assert any other claim or action in respect of any such breach. Notwithstanding the foregoing, claims for fraud shall not be waived or limited in any way by this ARTICLE 8.</w:t>
      </w:r>
    </w:p>
    <w:p>
      <w:pPr>
        <w:spacing w:after="0" w:line="18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8.6 Tax Treatment for Indemnification Payments</w:t>
      </w:r>
      <w:r>
        <w:rPr>
          <w:rFonts w:ascii="Times New Roman" w:cs="Times New Roman" w:eastAsia="Times New Roman" w:hAnsi="Times New Roman"/>
          <w:sz w:val="22"/>
          <w:szCs w:val="22"/>
          <w:color w:val="auto"/>
        </w:rPr>
        <w:t xml:space="preserve"> . Any indemnification payments made pursuant to this ARTICLE 8 will be treated as an adjustment to the Purchase Price for U.S. federal income tax purposes to the fullest extent permitted by applicable law, except to the extent otherwise required pursuant to a “determination,” within the meaning of Section 1313(a) of the US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9</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CONFIDENTIALITY</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9.1 Confidentiality</w:t>
      </w:r>
      <w:r>
        <w:rPr>
          <w:rFonts w:ascii="Times New Roman" w:cs="Times New Roman" w:eastAsia="Times New Roman" w:hAnsi="Times New Roman"/>
          <w:sz w:val="22"/>
          <w:szCs w:val="22"/>
          <w:color w:val="auto"/>
        </w:rPr>
        <w:t>. Except as provided in this ARTICLE 9 or otherwise agreed in writing by the parties, the parties agree that, during the term of this Agreement and for [***] years thereafter, each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shall (a) keep confidential and shall not publish or otherwise disclose, except as permitted pursuant to Section 9.2, any information furnished to it by or on behalf of the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pursuant to this Agreement (such information,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the Disclosing Party), and (b) shall not use the Confidential Information of the Disclosing Party for any purpose other than as provided for in this Agreement (which includes the exercise of any rights or the performance of any obligations hereunder), except in each case ((a) and (b)) for that portion of such information that the Receiving Party can demonstrate by competent proof:</w:t>
      </w:r>
    </w:p>
    <w:p>
      <w:pPr>
        <w:spacing w:after="0" w:line="179" w:lineRule="exact"/>
        <w:rPr>
          <w:sz w:val="20"/>
          <w:szCs w:val="20"/>
          <w:color w:val="auto"/>
        </w:rPr>
      </w:pPr>
    </w:p>
    <w:p>
      <w:pPr>
        <w:ind w:firstLine="756"/>
        <w:spacing w:after="0" w:line="255" w:lineRule="auto"/>
        <w:tabs>
          <w:tab w:leader="none" w:pos="117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to the Receiving Party, other than under an obligation of confidentiality, at the time of disclosure by the Disclosing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5" w:name="page296"/>
    <w:bookmarkEnd w:id="295"/>
    <w:p>
      <w:pPr>
        <w:ind w:right="40" w:firstLine="756"/>
        <w:spacing w:after="0" w:line="255" w:lineRule="auto"/>
        <w:tabs>
          <w:tab w:leader="none" w:pos="117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of its disclosure to the Receiving Party;</w:t>
      </w:r>
    </w:p>
    <w:p>
      <w:pPr>
        <w:spacing w:after="0" w:line="161" w:lineRule="exact"/>
        <w:rPr>
          <w:rFonts w:ascii="Times New Roman" w:cs="Times New Roman" w:eastAsia="Times New Roman" w:hAnsi="Times New Roman"/>
          <w:sz w:val="22"/>
          <w:szCs w:val="22"/>
          <w:color w:val="auto"/>
        </w:rPr>
      </w:pPr>
    </w:p>
    <w:p>
      <w:pPr>
        <w:ind w:right="20" w:firstLine="756"/>
        <w:spacing w:after="0" w:line="255" w:lineRule="auto"/>
        <w:tabs>
          <w:tab w:leader="none" w:pos="117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61" w:lineRule="exact"/>
        <w:rPr>
          <w:rFonts w:ascii="Times New Roman" w:cs="Times New Roman" w:eastAsia="Times New Roman" w:hAnsi="Times New Roman"/>
          <w:sz w:val="22"/>
          <w:szCs w:val="22"/>
          <w:color w:val="auto"/>
        </w:rPr>
      </w:pPr>
    </w:p>
    <w:p>
      <w:pPr>
        <w:ind w:right="40" w:firstLine="756"/>
        <w:spacing w:after="0" w:line="255" w:lineRule="auto"/>
        <w:tabs>
          <w:tab w:leader="none" w:pos="117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the Receiving Party or any of its Affiliates without the use of the Confidential Information of the Disclosing Party; or</w:t>
      </w:r>
    </w:p>
    <w:p>
      <w:pPr>
        <w:spacing w:after="0" w:line="161" w:lineRule="exact"/>
        <w:rPr>
          <w:rFonts w:ascii="Times New Roman" w:cs="Times New Roman" w:eastAsia="Times New Roman" w:hAnsi="Times New Roman"/>
          <w:sz w:val="22"/>
          <w:szCs w:val="22"/>
          <w:color w:val="auto"/>
        </w:rPr>
      </w:pPr>
    </w:p>
    <w:p>
      <w:pPr>
        <w:ind w:right="20" w:firstLine="756"/>
        <w:spacing w:after="0" w:line="255" w:lineRule="auto"/>
        <w:tabs>
          <w:tab w:leader="none" w:pos="117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disclosed to the Receiving Party on a non-confidential basis by a Third Party who did not receive such Confidential Information from the Disclosing Party and without obligations of confidentiality with respect thereto.</w:t>
      </w:r>
    </w:p>
    <w:p>
      <w:pPr>
        <w:spacing w:after="0" w:line="16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9.2</w:t>
      </w:r>
      <w:r>
        <w:rPr>
          <w:sz w:val="20"/>
          <w:szCs w:val="20"/>
          <w:color w:val="auto"/>
        </w:rPr>
        <w:tab/>
      </w:r>
      <w:r>
        <w:rPr>
          <w:rFonts w:ascii="Times New Roman" w:cs="Times New Roman" w:eastAsia="Times New Roman" w:hAnsi="Times New Roman"/>
          <w:sz w:val="20"/>
          <w:szCs w:val="20"/>
          <w:u w:val="single" w:color="auto"/>
          <w:color w:val="auto"/>
        </w:rPr>
        <w:t>Authorized Disclosure</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ind w:right="40" w:firstLine="756"/>
        <w:spacing w:after="0" w:line="255" w:lineRule="auto"/>
        <w:tabs>
          <w:tab w:leader="none" w:pos="117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disclose Confidential Information to the extent such disclosure is reasonably necessary in the following situations:</w:t>
      </w:r>
    </w:p>
    <w:p>
      <w:pPr>
        <w:spacing w:after="0" w:line="161"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prosecuting or defending litigation between the parties hereto;</w:t>
      </w:r>
    </w:p>
    <w:p>
      <w:pPr>
        <w:spacing w:after="0" w:line="204" w:lineRule="exact"/>
        <w:rPr>
          <w:rFonts w:ascii="Times New Roman" w:cs="Times New Roman" w:eastAsia="Times New Roman" w:hAnsi="Times New Roman"/>
          <w:sz w:val="22"/>
          <w:szCs w:val="22"/>
          <w:color w:val="010000"/>
        </w:rPr>
      </w:pPr>
    </w:p>
    <w:p>
      <w:pPr>
        <w:ind w:left="2680" w:hanging="426"/>
        <w:spacing w:after="0"/>
        <w:tabs>
          <w:tab w:leader="none" w:pos="2680"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complying with applicable laws and regulations, including regulations promulgated by securities</w:t>
      </w:r>
    </w:p>
    <w:p>
      <w:pPr>
        <w:spacing w:after="0" w:line="13" w:lineRule="exact"/>
        <w:rPr>
          <w:rFonts w:ascii="Times New Roman" w:cs="Times New Roman" w:eastAsia="Times New Roman" w:hAnsi="Times New Roman"/>
          <w:sz w:val="22"/>
          <w:szCs w:val="22"/>
          <w:color w:val="010000"/>
        </w:rPr>
      </w:pPr>
    </w:p>
    <w:p>
      <w:pPr>
        <w:ind w:left="15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exchanges;</w:t>
      </w:r>
    </w:p>
    <w:p>
      <w:pPr>
        <w:spacing w:after="0" w:line="180" w:lineRule="exact"/>
        <w:rPr>
          <w:rFonts w:ascii="Times New Roman" w:cs="Times New Roman" w:eastAsia="Times New Roman" w:hAnsi="Times New Roman"/>
          <w:sz w:val="22"/>
          <w:szCs w:val="22"/>
          <w:color w:val="010000"/>
        </w:rPr>
      </w:pPr>
    </w:p>
    <w:p>
      <w:pPr>
        <w:ind w:left="1500" w:firstLine="754"/>
        <w:spacing w:after="0" w:line="255" w:lineRule="auto"/>
        <w:tabs>
          <w:tab w:leader="none" w:pos="2693"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complying with a valid order of a court or administrative body of competent jurisdiction or other Governmental Entity;</w:t>
      </w:r>
    </w:p>
    <w:p>
      <w:pPr>
        <w:spacing w:after="0" w:line="161" w:lineRule="exact"/>
        <w:rPr>
          <w:rFonts w:ascii="Times New Roman" w:cs="Times New Roman" w:eastAsia="Times New Roman" w:hAnsi="Times New Roman"/>
          <w:sz w:val="22"/>
          <w:szCs w:val="22"/>
          <w:color w:val="010000"/>
        </w:rPr>
      </w:pPr>
    </w:p>
    <w:p>
      <w:pPr>
        <w:jc w:val="both"/>
        <w:ind w:left="1500" w:firstLine="754"/>
        <w:spacing w:after="0" w:line="242" w:lineRule="auto"/>
        <w:tabs>
          <w:tab w:leader="none" w:pos="2679"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 to its Affiliates and its and its Affiliates’ Representatives; provided, that each recipient of Confidential Information must be bound by obligations of confidentiality and non-use at least as stringent as those set forth in this Agreement prior to any such disclosure;</w:t>
      </w:r>
    </w:p>
    <w:p>
      <w:pPr>
        <w:spacing w:after="0" w:line="176" w:lineRule="exact"/>
        <w:rPr>
          <w:rFonts w:ascii="Times New Roman" w:cs="Times New Roman" w:eastAsia="Times New Roman" w:hAnsi="Times New Roman"/>
          <w:sz w:val="22"/>
          <w:szCs w:val="22"/>
          <w:color w:val="010000"/>
        </w:rPr>
      </w:pPr>
    </w:p>
    <w:p>
      <w:pPr>
        <w:jc w:val="both"/>
        <w:ind w:left="1500" w:firstLine="754"/>
        <w:spacing w:after="0" w:line="265" w:lineRule="auto"/>
        <w:tabs>
          <w:tab w:leader="none" w:pos="2679" w:val="left"/>
        </w:tabs>
        <w:numPr>
          <w:ilvl w:val="1"/>
          <w:numId w:val="1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disclosure to its actual or potential investors, lenders or acquirers, and their respective accountants, financial advisors and other professional representatives, provided, that such disclosure shall be made only to the extent customarily required to consummate such investment, financing transaction or acquisition and that each recipient of Confidential Information must be bound by obligations of confidentiality and non-use at least as stringent as those set forth in this Agreement prior to any such disclosure; or</w:t>
      </w:r>
    </w:p>
    <w:p>
      <w:pPr>
        <w:spacing w:after="0" w:line="156" w:lineRule="exact"/>
        <w:rPr>
          <w:rFonts w:ascii="Times New Roman" w:cs="Times New Roman" w:eastAsia="Times New Roman" w:hAnsi="Times New Roman"/>
          <w:sz w:val="20"/>
          <w:szCs w:val="20"/>
          <w:color w:val="010000"/>
        </w:rPr>
      </w:pPr>
    </w:p>
    <w:p>
      <w:pPr>
        <w:ind w:left="2680" w:hanging="426"/>
        <w:spacing w:after="0"/>
        <w:tabs>
          <w:tab w:leader="none" w:pos="2680" w:val="left"/>
        </w:tabs>
        <w:numPr>
          <w:ilvl w:val="1"/>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prior written consent of the Disclosing Party.</w:t>
      </w:r>
    </w:p>
    <w:p>
      <w:pPr>
        <w:spacing w:after="0" w:line="20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the event the Receiving Party is required to make a disclosure of the Disclosing Party’s Confidential Information pursuant to Section 9.2(a)(ii) or (iii), it will, except where impracticable, give reasonable advance notice to the Disclosing Party of such disclosure and use reasonable efforts to secure confidential treatment of such information. Without limiting the foregoing, a party may disclose the other party’s Confidential Information, without the other party’s prior written permission, to the extent it is required to do so by law, regulation,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6" w:name="page297"/>
    <w:bookmarkEnd w:id="296"/>
    <w:p>
      <w:pPr>
        <w:jc w:val="both"/>
        <w:spacing w:after="0" w:line="232" w:lineRule="auto"/>
        <w:rPr>
          <w:sz w:val="20"/>
          <w:szCs w:val="20"/>
          <w:color w:val="auto"/>
        </w:rPr>
      </w:pPr>
      <w:r>
        <w:rPr>
          <w:rFonts w:ascii="Times New Roman" w:cs="Times New Roman" w:eastAsia="Times New Roman" w:hAnsi="Times New Roman"/>
          <w:sz w:val="22"/>
          <w:szCs w:val="22"/>
          <w:color w:val="auto"/>
        </w:rPr>
        <w:t>or a court or administrative order or an order of another Governmental Entity; however, prior to such disclosure, the compelled party shall notify the other party (which notice shall include a copy of the relevant portion of any applicable subpoena or order) as promptly as possible after it learns of such requirement to disclose, except to the extent such notification would be impractical or legally impermissible (in which event notification shall be made as soon as reasonably practicable and permissible), provide the other party with reasonable opportunity to pursue legal action to prevent or limit the required disclosure, and, if requested, provide reasonable assistance at the other party’s expense in undertaking reasonable legal action to prevent or limit the required disclosure. In the event of any such required disclosure, the party required to disclose the other party’s Confidential Information shall disclose only that portion of the other party’s Confidential Information that it is legally required to disclose based on the advice of its counsel. The Receiving Party shall continue to hold in confidence hereunder any such disclosed Confidential Information of the Disclosing Party unless and until such information is no longer required to be held in confidence under the terms of this Agreement.</w:t>
      </w:r>
    </w:p>
    <w:p>
      <w:pPr>
        <w:spacing w:after="0" w:line="18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Buyer shall not seek, because of, or based upon, any Confidential Information of the Seller, Patent or any other form of intellectual property protection with respect to, or related to, any such Confidential Information or use the Confidential Information of the Seller to obtain, or seek to obtain, a commercial advantage over the Seller. Without limiting the foregoing, the Buyer shall not file any Patent application based upon, disclosing or using any of the Confidential Information of the Seller provided hereunder.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10.1 Term and Expiration; Surviving Payments</w:t>
      </w:r>
      <w:r>
        <w:rPr>
          <w:rFonts w:ascii="Times New Roman" w:cs="Times New Roman" w:eastAsia="Times New Roman" w:hAnsi="Times New Roman"/>
          <w:sz w:val="22"/>
          <w:szCs w:val="22"/>
          <w:color w:val="auto"/>
        </w:rPr>
        <w:t xml:space="preserve"> . Unless earlier terminated as provided in Section 10.2, this Agreement shall be effective as of the Effective Date and shall continue in full force and effect until such time as the Seller has made all Revenue Payments or the Buy-Out Payment, as applicable, in full under this Agreement, at which time this Agreement shall automatically terminate, except in each case with respect to any rights or obligations that accrued or arose prior to such termination.</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u w:val="single" w:color="auto"/>
          <w:color w:val="auto"/>
        </w:rPr>
        <w:t>Section 10.2 Mutual Termination</w:t>
      </w:r>
      <w:r>
        <w:rPr>
          <w:rFonts w:ascii="Times New Roman" w:cs="Times New Roman" w:eastAsia="Times New Roman" w:hAnsi="Times New Roman"/>
          <w:sz w:val="22"/>
          <w:szCs w:val="22"/>
          <w:color w:val="auto"/>
        </w:rPr>
        <w:t xml:space="preserve"> . This Agreement may be terminated by mutual written agreement of the Buyer and the Seller.</w:t>
      </w:r>
    </w:p>
    <w:p>
      <w:pPr>
        <w:spacing w:after="0" w:line="16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10.3 Survival</w:t>
      </w:r>
      <w:r>
        <w:rPr>
          <w:rFonts w:ascii="Times New Roman" w:cs="Times New Roman" w:eastAsia="Times New Roman" w:hAnsi="Times New Roman"/>
          <w:sz w:val="22"/>
          <w:szCs w:val="22"/>
          <w:color w:val="auto"/>
        </w:rPr>
        <w:t xml:space="preserve"> . Notwithstanding anything to the contrary in this ARTICLE 10, the following provisions shall survive termination of this Agreement: ARTICLE 1; Section 7.4 (Inspections and Audits of the Seller); Section 7.12 (Late Payments); ARTICLE 8 (Indemnification); ARTICLE 9 (Confidentiality); Section 10.1 (Term and Expiration; Surviving Payments); Section 10.3 (Survival); ARTICLE 11 (Miscellaneous). Termination of this Agreement shall not relieve any party of liability in respect of breaches under this Agreement by any party on or prior to termination.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11</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7" w:name="page298"/>
    <w:bookmarkEnd w:id="297"/>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11.1 Notices</w:t>
      </w:r>
      <w:r>
        <w:rPr>
          <w:rFonts w:ascii="Times New Roman" w:cs="Times New Roman" w:eastAsia="Times New Roman" w:hAnsi="Times New Roman"/>
          <w:sz w:val="22"/>
          <w:szCs w:val="22"/>
          <w:color w:val="auto"/>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11.1:</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the Seller or the Parent, to it at</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Tuborg Boulevard 12</w:t>
      </w:r>
    </w:p>
    <w:p>
      <w:pPr>
        <w:ind w:left="760"/>
        <w:spacing w:after="0" w:line="229" w:lineRule="auto"/>
        <w:rPr>
          <w:sz w:val="20"/>
          <w:szCs w:val="20"/>
          <w:color w:val="auto"/>
        </w:rPr>
      </w:pPr>
      <w:r>
        <w:rPr>
          <w:rFonts w:ascii="Times New Roman" w:cs="Times New Roman" w:eastAsia="Times New Roman" w:hAnsi="Times New Roman"/>
          <w:sz w:val="22"/>
          <w:szCs w:val="22"/>
          <w:color w:val="auto"/>
        </w:rPr>
        <w:t>DK-2900 Hellerup</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140 Scott Drive</w:t>
      </w:r>
    </w:p>
    <w:p>
      <w:pPr>
        <w:ind w:left="760"/>
        <w:spacing w:after="0" w:line="229" w:lineRule="auto"/>
        <w:rPr>
          <w:sz w:val="20"/>
          <w:szCs w:val="20"/>
          <w:color w:val="auto"/>
        </w:rPr>
      </w:pPr>
      <w:r>
        <w:rPr>
          <w:rFonts w:ascii="Times New Roman" w:cs="Times New Roman" w:eastAsia="Times New Roman" w:hAnsi="Times New Roman"/>
          <w:sz w:val="22"/>
          <w:szCs w:val="22"/>
          <w:color w:val="auto"/>
        </w:rPr>
        <w:t>Menlo Park, California 94025</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Mark V. Roeder</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the Buyer, to it at</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 E. 59th Street, Suite 3300</w:t>
      </w:r>
    </w:p>
    <w:p>
      <w:pPr>
        <w:ind w:left="760"/>
        <w:spacing w:after="0" w:line="229" w:lineRule="auto"/>
        <w:rPr>
          <w:sz w:val="20"/>
          <w:szCs w:val="20"/>
          <w:color w:val="auto"/>
        </w:rPr>
      </w:pPr>
      <w:r>
        <w:rPr>
          <w:rFonts w:ascii="Times New Roman" w:cs="Times New Roman" w:eastAsia="Times New Roman" w:hAnsi="Times New Roman"/>
          <w:sz w:val="22"/>
          <w:szCs w:val="22"/>
          <w:color w:val="auto"/>
        </w:rPr>
        <w:t>New York, New York 10022</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100 Northern Avenue</w:t>
      </w:r>
    </w:p>
    <w:p>
      <w:pPr>
        <w:ind w:left="760"/>
        <w:spacing w:after="0" w:line="229" w:lineRule="auto"/>
        <w:rPr>
          <w:sz w:val="20"/>
          <w:szCs w:val="20"/>
          <w:color w:val="auto"/>
        </w:rPr>
      </w:pPr>
      <w:r>
        <w:rPr>
          <w:rFonts w:ascii="Times New Roman" w:cs="Times New Roman" w:eastAsia="Times New Roman" w:hAnsi="Times New Roman"/>
          <w:sz w:val="22"/>
          <w:szCs w:val="22"/>
          <w:color w:val="auto"/>
        </w:rPr>
        <w:t>Boston, Massachusetts 02210</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Robert M. Crawford and Jacqueline Mercier</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14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All notices and communications under this Agreement shall be deemed to have been duly given (i) when delivered by hand, if personally delivered, (ii) when received by a recipient, if sent by email, with an acknowledgement of receipt being produced by the recipient’s email account, or (iii) one (1) Business Day following sending within the United States by overnight delivery via commercial one-day overnight courier service.</w:t>
      </w:r>
    </w:p>
    <w:p>
      <w:pPr>
        <w:spacing w:after="0" w:line="153" w:lineRule="exact"/>
        <w:rPr>
          <w:sz w:val="20"/>
          <w:szCs w:val="20"/>
          <w:color w:val="auto"/>
        </w:rPr>
      </w:pPr>
    </w:p>
    <w:p>
      <w:pPr>
        <w:jc w:val="both"/>
        <w:ind w:firstLine="749"/>
        <w:spacing w:after="0" w:line="278" w:lineRule="auto"/>
        <w:rPr>
          <w:sz w:val="20"/>
          <w:szCs w:val="20"/>
          <w:color w:val="auto"/>
        </w:rPr>
      </w:pPr>
      <w:r>
        <w:rPr>
          <w:rFonts w:ascii="Times New Roman" w:cs="Times New Roman" w:eastAsia="Times New Roman" w:hAnsi="Times New Roman"/>
          <w:sz w:val="20"/>
          <w:szCs w:val="20"/>
          <w:color w:val="auto"/>
        </w:rPr>
        <w:t>Section 11.2 Expenses .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-361315</wp:posOffset>
            </wp:positionV>
            <wp:extent cx="139573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8" w:name="page299"/>
    <w:bookmarkEnd w:id="298"/>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11.3</w:t>
      </w:r>
      <w:r>
        <w:rPr>
          <w:sz w:val="20"/>
          <w:szCs w:val="20"/>
          <w:color w:val="auto"/>
        </w:rPr>
        <w:tab/>
      </w:r>
      <w:r>
        <w:rPr>
          <w:rFonts w:ascii="Times New Roman" w:cs="Times New Roman" w:eastAsia="Times New Roman" w:hAnsi="Times New Roman"/>
          <w:sz w:val="20"/>
          <w:szCs w:val="20"/>
          <w:u w:val="single" w:color="auto"/>
          <w:color w:val="auto"/>
        </w:rPr>
        <w:t>Assignment; Transfer Restrictions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33" w:lineRule="auto"/>
        <w:tabs>
          <w:tab w:leader="none" w:pos="117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the Seller nor any of their Affiliates shall sell, assign or otherwise transfer, including by asset sale, merger, change of control, operation of law, or otherwise, this Agreement or any portion of the US Product Rights to any Person without the prior written consent of the Buyer (not to be unreasonably conditioned, withheld or delayed) except (i) to an Affiliate if such Affiliate transferee agrees in a writing reasonably acceptable to the Buyer that such Affiliate assumes all of the obligations of the Parent and the Seller to the Buyer under this Agreement and the Parent guarantees the performance of such Affiliate or (ii) in connection with a Change of Control. Further, the Parent, the Seller and its Affiliates shall be permitted to assign all or substantially all of the US Product Rights to a Permitted Transferee if such Permitted Transferee agrees in a writing reasonably acceptable to the Buyer that it assumes all of the obligations of the Parent and the Seller to the Buyer under this Agreement. For clarity, nothing in this Section 11.3 shall prohibit any Out-Licenses permitted by and entered into in accordance with Section 7.7.</w:t>
      </w:r>
    </w:p>
    <w:p>
      <w:pPr>
        <w:spacing w:after="0" w:line="180" w:lineRule="exact"/>
        <w:rPr>
          <w:rFonts w:ascii="Times New Roman" w:cs="Times New Roman" w:eastAsia="Times New Roman" w:hAnsi="Times New Roman"/>
          <w:sz w:val="22"/>
          <w:szCs w:val="22"/>
          <w:color w:val="auto"/>
        </w:rPr>
      </w:pPr>
    </w:p>
    <w:p>
      <w:pPr>
        <w:ind w:right="40" w:firstLine="756"/>
        <w:spacing w:after="0" w:line="255" w:lineRule="auto"/>
        <w:tabs>
          <w:tab w:leader="none" w:pos="117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of the transactions contemplated by this Agreement, the Buyer may assign this Agreement without the prior written consent of the Seller if the Buyer provides a prior written notice to Seller regarding such assignment.</w:t>
      </w:r>
    </w:p>
    <w:p>
      <w:pPr>
        <w:spacing w:after="0" w:line="161"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 assigning this Agreement as set forth in this Section 11.3 will promptly notify the other party of such</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w:t>
      </w:r>
    </w:p>
    <w:p>
      <w:pPr>
        <w:spacing w:after="0" w:line="180"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purported sale, assignment or transfer in violation of this Section 11.3 shall be null and void.</w:t>
      </w:r>
    </w:p>
    <w:p>
      <w:pPr>
        <w:spacing w:after="0" w:line="2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2"/>
          <w:szCs w:val="22"/>
          <w:color w:val="auto"/>
        </w:rPr>
        <w:t>This Agreement shall be binding upon, inure to the benefit of and be enforceable by, the parties hereto and their respective permitted successors and assigns.</w:t>
      </w:r>
    </w:p>
    <w:p>
      <w:pPr>
        <w:spacing w:after="0" w:line="162"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11.4</w:t>
      </w:r>
      <w:r>
        <w:rPr>
          <w:sz w:val="20"/>
          <w:szCs w:val="20"/>
          <w:color w:val="auto"/>
        </w:rPr>
        <w:tab/>
      </w: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right="20" w:firstLine="756"/>
        <w:spacing w:after="0" w:line="242" w:lineRule="auto"/>
        <w:tabs>
          <w:tab w:leader="none" w:pos="117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restated, modified or supplemented only in a writing signed by each of the Seller, the Parent and the Buyer. Any provision of this Agreement may be waived only in a writing signed by the parties hereto granting such waiver.</w:t>
      </w:r>
    </w:p>
    <w:p>
      <w:pPr>
        <w:spacing w:after="0" w:line="176" w:lineRule="exact"/>
        <w:rPr>
          <w:rFonts w:ascii="Times New Roman" w:cs="Times New Roman" w:eastAsia="Times New Roman" w:hAnsi="Times New Roman"/>
          <w:sz w:val="22"/>
          <w:szCs w:val="22"/>
          <w:color w:val="auto"/>
        </w:rPr>
      </w:pPr>
    </w:p>
    <w:p>
      <w:pPr>
        <w:jc w:val="both"/>
        <w:ind w:firstLine="756"/>
        <w:spacing w:after="0" w:line="238" w:lineRule="auto"/>
        <w:tabs>
          <w:tab w:leader="none" w:pos="117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11.5 Entire Agreement</w:t>
      </w:r>
      <w:r>
        <w:rPr>
          <w:rFonts w:ascii="Times New Roman" w:cs="Times New Roman" w:eastAsia="Times New Roman" w:hAnsi="Times New Roman"/>
          <w:sz w:val="22"/>
          <w:szCs w:val="22"/>
          <w:color w:val="auto"/>
        </w:rPr>
        <w:t xml:space="preserve"> . This Agreement, the Exhibits annexed hereto and the Disclosure Schedule constitute the entire understanding between the parties hereto with respect to the subject matter hereof and supersede all other understandings and negotiations with respect thereto.</w:t>
      </w:r>
    </w:p>
    <w:p>
      <w:pPr>
        <w:spacing w:after="0" w:line="176"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2"/>
          <w:szCs w:val="22"/>
          <w:u w:val="single" w:color="auto"/>
          <w:color w:val="auto"/>
        </w:rPr>
        <w:t>Section 11.6 No Third Party Beneficiaries</w:t>
      </w:r>
      <w:r>
        <w:rPr>
          <w:rFonts w:ascii="Times New Roman" w:cs="Times New Roman" w:eastAsia="Times New Roman" w:hAnsi="Times New Roman"/>
          <w:sz w:val="22"/>
          <w:szCs w:val="22"/>
          <w:color w:val="auto"/>
        </w:rPr>
        <w:t xml:space="preserve"> . This Agreement is for the sole benefit of the Seller, the Parent and the Buyer and their permitted successors and assigns and nothing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9" w:name="page300"/>
    <w:bookmarkEnd w:id="299"/>
    <w:p>
      <w:pPr>
        <w:jc w:val="both"/>
        <w:spacing w:after="0" w:line="242" w:lineRule="auto"/>
        <w:rPr>
          <w:sz w:val="20"/>
          <w:szCs w:val="20"/>
          <w:color w:val="auto"/>
        </w:rPr>
      </w:pPr>
      <w:r>
        <w:rPr>
          <w:rFonts w:ascii="Times New Roman" w:cs="Times New Roman" w:eastAsia="Times New Roman" w:hAnsi="Times New Roman"/>
          <w:sz w:val="22"/>
          <w:szCs w:val="22"/>
          <w:color w:val="auto"/>
        </w:rPr>
        <w:t>expressed or implied shall give or be construed to give to any Person, other than the parties hereto and such successors and assigns, any legal or equitable rights hereunder, except that the Indemnified Parties shall be third party beneficiaries of the benefits provided for in ARTICLE 8.</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11.7 Governing Law</w:t>
      </w:r>
      <w:r>
        <w:rPr>
          <w:rFonts w:ascii="Times New Roman" w:cs="Times New Roman" w:eastAsia="Times New Roman" w:hAnsi="Times New Roman"/>
          <w:sz w:val="22"/>
          <w:szCs w:val="22"/>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80"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11.8</w:t>
      </w:r>
      <w:r>
        <w:rPr>
          <w:sz w:val="20"/>
          <w:szCs w:val="20"/>
          <w:color w:val="auto"/>
        </w:rPr>
        <w:tab/>
      </w:r>
      <w:r>
        <w:rPr>
          <w:rFonts w:ascii="Times New Roman" w:cs="Times New Roman" w:eastAsia="Times New Roman" w:hAnsi="Times New Roman"/>
          <w:sz w:val="20"/>
          <w:szCs w:val="20"/>
          <w:u w:val="single" w:color="auto"/>
          <w:color w:val="auto"/>
        </w:rPr>
        <w:t>Jurisdiction; Venue</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756"/>
        <w:spacing w:after="0" w:line="231" w:lineRule="auto"/>
        <w:tabs>
          <w:tab w:leader="none" w:pos="117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EACH HEREBY IRREVOCABLY AND UNCONDITIONALLY AGREE THAT ALL CLAIMS IN RESPECT OF ANY SUCH ACTION OR PROCEEDING MAY BE HEARD AND DETERMINED IN ANY SUCH NEW YORK STATE COURT OR, TO THE FULLEST EXTENT PERMITTED BY APPLICABLE LAW, IN SUCH FEDERAL COURT. THE BUYER AND THE SELLER EACH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NOTHING IN THIS AGREEMENT OR IN ANY OTHER DOCUMENT SHALL AFFECT ANY RIGHT THAT THE BUYER MAY OTHERWISE HAVE TO BRING ANY ACTION OR PROCEEDING RELATING TO THIS AGREEMENT OR ANY OTHER DOCUMENT AGAINST THE SELLER OR ITS AFFILIATES OR ITS OR THEIR PROPERTIES IN THE COURTS OF ANY JURISDICTION. THE BUYER AND THE SELLER EACH AGREE, TO THE FULLEST EXTENT PERMITTED BY APPLICABLE LAW, THAT PROCESS MAY BE SERVED ON THE BUYER OR THE SELLER IN THE SAME MANNER THAT NOTICES MAY BE GIVEN PURSUANT TO SECTION 11.1 HEREOF.</w:t>
      </w:r>
    </w:p>
    <w:p>
      <w:pPr>
        <w:spacing w:after="0" w:line="149" w:lineRule="exact"/>
        <w:rPr>
          <w:rFonts w:ascii="Times New Roman" w:cs="Times New Roman" w:eastAsia="Times New Roman" w:hAnsi="Times New Roman"/>
          <w:sz w:val="22"/>
          <w:szCs w:val="22"/>
          <w:color w:val="auto"/>
        </w:rPr>
      </w:pPr>
    </w:p>
    <w:p>
      <w:pPr>
        <w:jc w:val="both"/>
        <w:ind w:firstLine="756"/>
        <w:spacing w:after="0" w:line="234" w:lineRule="auto"/>
        <w:tabs>
          <w:tab w:leader="none" w:pos="117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0" w:name="page301"/>
    <w:bookmarkEnd w:id="300"/>
    <w:p>
      <w:pPr>
        <w:jc w:val="both"/>
        <w:ind w:firstLine="756"/>
        <w:spacing w:after="0" w:line="242" w:lineRule="auto"/>
        <w:tabs>
          <w:tab w:leader="none" w:pos="119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AND UNCONDITIONALLY WAIVES ANY RIGHT TO TRIAL BY JURY WITH RESPECT TO ANY PROCEEDING ARISING OUT OF, RELATING TO OR IN CONNECTION WITH THIS AGREEMENT OR ANY TRANSACTION CONTEMPLATED HEREBY.</w:t>
      </w:r>
    </w:p>
    <w:p>
      <w:pPr>
        <w:spacing w:after="0" w:line="13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11.9 Severability</w:t>
      </w:r>
      <w:r>
        <w:rPr>
          <w:rFonts w:ascii="Times New Roman" w:cs="Times New Roman" w:eastAsia="Times New Roman" w:hAnsi="Times New Roman"/>
          <w:sz w:val="22"/>
          <w:szCs w:val="22"/>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8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11.10 Specific Performance . Each of the parties acknowledges and agrees that the other parties may be damaged irreparably in the event any of the provisions of this Agreement are not performed in accordance with their specific terms or otherwise are breached or violated. Accordingly, notwithstanding Section 8.5, each of the parties agrees that, without posting bond or other undertaking, the other parties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shall not assert that the defense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-1257300</wp:posOffset>
            </wp:positionV>
            <wp:extent cx="208534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5">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11.11 Counterparts</w:t>
      </w:r>
      <w:r>
        <w:rPr>
          <w:rFonts w:ascii="Times New Roman" w:cs="Times New Roman" w:eastAsia="Times New Roman" w:hAnsi="Times New Roman"/>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82"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11.12 Relationship of the Parties; Cooperation</w:t>
      </w:r>
      <w:r>
        <w:rPr>
          <w:rFonts w:ascii="Times New Roman" w:cs="Times New Roman" w:eastAsia="Times New Roman" w:hAnsi="Times New Roman"/>
          <w:sz w:val="22"/>
          <w:szCs w:val="22"/>
          <w:color w:val="auto"/>
        </w:rPr>
        <w:t xml:space="preserve"> . The relationship between the Buyer, on the one hand, and the Seller and the Parent, on the other hand, is solely that of purchaser and seller/guarantor, and no party hereto has any fiduciary or other special relationship with any other party or any of its Affiliates. This Agreement is not a partnership or similar agreement, and nothing contained herein shall be deemed to constitute the Buyer, the Seller, the Parent or any of their Affiliates as a partnership, an association, a joint venture or any other kind of entity or legal form for any purposes, including any Tax purposes. The Buyer, the Seller and the Parent acknowledge and agree that the Buyer’s interests hereunder (including the Revenue Participation Right) are not equity interests and that the Buyer shall have the rights of a secured party (as defined in the UCC) with respect to the Revenue Participation Right. The Buyer, the Seller and the Parent agree to treat the transactions contemplated by this Agreement as a sale of the Revenue Participation Right for U.S. federal, state, local and non-U.S. tax purposes (except as otherwise required by IFRS solely for financial reporting purposes or by applicable tax law in Denmark solely for Danish tax purposes), and that they shall not take any position that is inconsistent with this Section 11.12 in any filing with any Governmental Entity or any audit or other tax-related administrative or judicial proceeding unless the other party hereto has consented in writing to such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1" w:name="page302"/>
    <w:bookmarkEnd w:id="301"/>
    <w:p>
      <w:pPr>
        <w:jc w:val="both"/>
        <w:spacing w:after="0" w:line="235" w:lineRule="auto"/>
        <w:rPr>
          <w:sz w:val="20"/>
          <w:szCs w:val="20"/>
          <w:color w:val="auto"/>
        </w:rPr>
      </w:pPr>
      <w:r>
        <w:rPr>
          <w:rFonts w:ascii="Times New Roman" w:cs="Times New Roman" w:eastAsia="Times New Roman" w:hAnsi="Times New Roman"/>
          <w:sz w:val="22"/>
          <w:szCs w:val="22"/>
          <w:color w:val="auto"/>
        </w:rPr>
        <w:t>actions or to the extent otherwise required pursuant to a “determination,” within the meaning of Section 1313(a) of the US Code, or a comparable provision of non-U.S. law. Each of the Buyer, the Seller and the Parent shall cooperate fully, as and to the extent reasonably requested by the other party, in connection with the filing of tax returns and any audit, litigation or other proceeding with respect to taxes relating to the Revenue Participation Right. If there is an inquiry by any Governmental Entity of the Buyer, the Seller or the Parent related to the treatment described in this Section 11.12, the parties hereto shall cooperate with each other in responding to such inquiry in a reasonable manner which is consistent with this Section 11.12.</w:t>
      </w:r>
    </w:p>
    <w:p>
      <w:pPr>
        <w:spacing w:after="0" w:line="182"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u w:val="single" w:color="auto"/>
          <w:color w:val="auto"/>
        </w:rPr>
        <w:t>Section 11.13 Parent Guarantee</w:t>
      </w:r>
      <w:r>
        <w:rPr>
          <w:rFonts w:ascii="Times New Roman" w:cs="Times New Roman" w:eastAsia="Times New Roman" w:hAnsi="Times New Roman"/>
          <w:sz w:val="22"/>
          <w:szCs w:val="22"/>
          <w:color w:val="auto"/>
        </w:rPr>
        <w:t xml:space="preserve"> . The Parent (i) hereby unconditionally guarantees the due and punctual payment and performance of all of the Seller’s and its Affiliates’ obligations and commitments under this Agreement or any related documents, and (ii) hereby further covenants to procure and cause the Seller and its Affiliates to take such actions necessary to support and duly complete the due and punctual payment and performance of the Seller’s and its Affiliates’ obligations and commitments under this Agreement and any related documents in relation to the Buyer’s exercise of its rights and remedies under this Agreement and any related documents (collectively, (i) and (ii) this “</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This Parent Guaranty is an irrevocable guaranty of payment and performance (and not just of collection) and shall continue in effect notwithstanding any extension or modification of the terms of this Agreement or any related document, any assumption of any such guaranteed obligations by any other party or Person or any other act or event that might otherwise operate as a legal or equitable discharge of the Parent. The Parent hereby waives all its rights to subrogation arising out of any payment or performance by The Parent under this Parent Guaranty. The obligations of the Parent hereunder shall be absolute and unconditional, and shall not be affected by or contingent upon (a) the liquidation or dissolution of, or the merger or consolidation of the Seller or any of its Affiliates with or into any corporation or other Person, or any sale or transfer by the Seller or any of its Affiliates or all or any part of its or their property or assets, (b) the bankruptcy, receivership, insolvency, reorganization or similar proceedings involving or affecting the Seller or its Affiliates, or (c) any modification, alteration, amendment, supplement, waiver or addition of or to this Agreement or any related document. The Parent hereby waives all suretyship defenses and protest, notice of protest, demand for performance, diligence, notice of any other action at any time taken or omitted by the Buyer and, generally, all demands and notices of every kind in connection with this Parent Guaranty, and the Seller’s and its Affiliates’ obligations in this Agreement and any related documents hereby guaranteed, and which the Parent may otherwise assert against the Buyer. This Parent Guaranty shall continue to be effective or shall be reinstated, as the case may be, if at any time payment or performance of any of the obligations of the Seller or any of its Affiliates under this Agreement or any related document is rescinded or must otherwise be restored or returned by the Company upon the insolvency, bankruptcy or reorganization of the Seller or its Affiliates or otherwise. The Parent acknowledges that each of the waivers set forth in this Parent Guaranty is made with full knowledge of its significance and consequences and under the circumstances the waivers are reasonable and not contrary to public policy. If any of said waivers is determined to be contrary to any applicable law or public policy, such waivers shall be effective only to the extent permitted and required by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835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2" w:name="page303"/>
    <w:bookmarkEnd w:id="302"/>
    <w:p>
      <w:pPr>
        <w:ind w:firstLine="749"/>
        <w:spacing w:after="0" w:line="255"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SELLER PARENT</w:t>
      </w:r>
    </w:p>
    <w:p>
      <w:pPr>
        <w:spacing w:after="0" w:line="2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285" w:lineRule="exact"/>
        <w:rPr>
          <w:sz w:val="20"/>
          <w:szCs w:val="20"/>
          <w:color w:val="auto"/>
        </w:rPr>
      </w:pPr>
    </w:p>
    <w:p>
      <w:pPr>
        <w:ind w:left="5500"/>
        <w:spacing w:after="0"/>
        <w:tabs>
          <w:tab w:leader="none" w:pos="6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10795</wp:posOffset>
            </wp:positionV>
            <wp:extent cx="310070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8">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Name: Jan Møller Mikkelsen</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Title: CEO, President</w:t>
      </w:r>
    </w:p>
    <w:p>
      <w:pPr>
        <w:spacing w:after="0" w:line="200" w:lineRule="exact"/>
        <w:rPr>
          <w:sz w:val="20"/>
          <w:szCs w:val="20"/>
          <w:color w:val="auto"/>
        </w:rPr>
      </w:pPr>
    </w:p>
    <w:p>
      <w:pPr>
        <w:spacing w:after="0" w:line="290" w:lineRule="exact"/>
        <w:rPr>
          <w:sz w:val="20"/>
          <w:szCs w:val="20"/>
          <w:color w:val="auto"/>
        </w:rPr>
      </w:pPr>
    </w:p>
    <w:p>
      <w:pPr>
        <w:ind w:left="5500"/>
        <w:spacing w:after="0"/>
        <w:tabs>
          <w:tab w:leader="none" w:pos="6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10795</wp:posOffset>
            </wp:positionV>
            <wp:extent cx="310070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9">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Name: Albert Cha</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Title: Chairman of the Board of Directors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Revenue Participation Right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3" w:name="page304"/>
    <w:bookmarkEnd w:id="303"/>
    <w:p>
      <w:pPr>
        <w:ind w:firstLine="749"/>
        <w:spacing w:after="0" w:line="255"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SELLER</w:t>
      </w:r>
    </w:p>
    <w:p>
      <w:pPr>
        <w:spacing w:after="0" w:line="2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ASCENDIS PHARMA</w:t>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ENDOCRINOLOGY DIVISION A/S</w:t>
      </w:r>
    </w:p>
    <w:p>
      <w:pPr>
        <w:spacing w:after="0" w:line="261" w:lineRule="exact"/>
        <w:rPr>
          <w:sz w:val="20"/>
          <w:szCs w:val="20"/>
          <w:color w:val="auto"/>
        </w:rPr>
      </w:pPr>
    </w:p>
    <w:p>
      <w:pPr>
        <w:ind w:left="5500"/>
        <w:spacing w:after="0"/>
        <w:tabs>
          <w:tab w:leader="none" w:pos="6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10795</wp:posOffset>
            </wp:positionV>
            <wp:extent cx="310070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1">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Name: Jan Møller Mikkelsen</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Title: CEO, President</w:t>
      </w:r>
    </w:p>
    <w:p>
      <w:pPr>
        <w:spacing w:after="0" w:line="200" w:lineRule="exact"/>
        <w:rPr>
          <w:sz w:val="20"/>
          <w:szCs w:val="20"/>
          <w:color w:val="auto"/>
        </w:rPr>
      </w:pPr>
    </w:p>
    <w:p>
      <w:pPr>
        <w:spacing w:after="0" w:line="290" w:lineRule="exact"/>
        <w:rPr>
          <w:sz w:val="20"/>
          <w:szCs w:val="20"/>
          <w:color w:val="auto"/>
        </w:rPr>
      </w:pPr>
    </w:p>
    <w:p>
      <w:pPr>
        <w:ind w:left="5500"/>
        <w:spacing w:after="0"/>
        <w:tabs>
          <w:tab w:leader="none" w:pos="6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10795</wp:posOffset>
            </wp:positionV>
            <wp:extent cx="310070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2">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Name: Michael Wolff Jensen</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Title: Chairman of the Board of Directors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Revenue Participation Right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4" w:name="page305"/>
    <w:bookmarkEnd w:id="304"/>
    <w:p>
      <w:pPr>
        <w:ind w:firstLine="749"/>
        <w:spacing w:after="0" w:line="255"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BUYER</w:t>
      </w:r>
    </w:p>
    <w:p>
      <w:pPr>
        <w:spacing w:after="0" w:line="2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258" w:lineRule="exact"/>
        <w:rPr>
          <w:sz w:val="20"/>
          <w:szCs w:val="20"/>
          <w:color w:val="auto"/>
        </w:rPr>
      </w:pPr>
    </w:p>
    <w:p>
      <w:pPr>
        <w:ind w:left="5500"/>
        <w:spacing w:after="0"/>
        <w:tabs>
          <w:tab w:leader="none" w:pos="6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Royalty Pharma Holdings, Ltd., its Manager</w:t>
      </w:r>
    </w:p>
    <w:p>
      <w:pPr>
        <w:spacing w:after="0" w:line="258" w:lineRule="exact"/>
        <w:rPr>
          <w:sz w:val="20"/>
          <w:szCs w:val="20"/>
          <w:color w:val="auto"/>
        </w:rPr>
      </w:pPr>
    </w:p>
    <w:p>
      <w:pPr>
        <w:ind w:left="5500"/>
        <w:spacing w:after="0"/>
        <w:tabs>
          <w:tab w:leader="none" w:pos="6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George W.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10795</wp:posOffset>
            </wp:positionV>
            <wp:extent cx="310070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4">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Name: George W. Lloyd</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Revenue Participation Right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835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5" w:name="page306"/>
    <w:bookmarkEnd w:id="30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ectPr>
          <w:pgSz w:w="11900" w:h="16838" w:orient="portrait"/>
          <w:cols w:equalWidth="0" w:num="1">
            <w:col w:w="9019"/>
          </w:cols>
          <w:pgMar w:left="1440" w:top="351"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655955</wp:posOffset>
            </wp:positionV>
            <wp:extent cx="715835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306" w:name="page307"/>
    <w:bookmarkEnd w:id="30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ectPr>
          <w:pgSz w:w="11900" w:h="16838" w:orient="portrait"/>
          <w:cols w:equalWidth="0" w:num="1">
            <w:col w:w="9019"/>
          </w:cols>
          <w:pgMar w:left="1440" w:top="350"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655955</wp:posOffset>
            </wp:positionV>
            <wp:extent cx="715835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350" w:right="1440" w:bottom="1440" w:gutter="0" w:footer="0" w:header="0"/>
          <w:type w:val="continuous"/>
        </w:sectPr>
      </w:pPr>
    </w:p>
    <w:bookmarkStart w:id="307" w:name="page308"/>
    <w:bookmarkEnd w:id="30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ectPr>
          <w:pgSz w:w="11900" w:h="16838" w:orient="portrait"/>
          <w:cols w:equalWidth="0" w:num="1">
            <w:col w:w="9019"/>
          </w:cols>
          <w:pgMar w:left="1440" w:top="350"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587375</wp:posOffset>
            </wp:positionV>
            <wp:extent cx="715835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350" w:right="1440" w:bottom="1440" w:gutter="0" w:footer="0" w:header="0"/>
          <w:type w:val="continuous"/>
        </w:sectPr>
      </w:pPr>
    </w:p>
    <w:bookmarkStart w:id="308" w:name="page309"/>
    <w:bookmarkEnd w:id="30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ectPr>
          <w:pgSz w:w="11900" w:h="16838" w:orient="portrait"/>
          <w:cols w:equalWidth="0" w:num="1">
            <w:col w:w="9019"/>
          </w:cols>
          <w:pgMar w:left="1440" w:top="350"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1151255</wp:posOffset>
            </wp:positionV>
            <wp:extent cx="7158355"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350" w:right="1440" w:bottom="1440" w:gutter="0" w:footer="0" w:header="0"/>
          <w:type w:val="continuous"/>
        </w:sectPr>
      </w:pPr>
    </w:p>
    <w:bookmarkStart w:id="309" w:name="page310"/>
    <w:bookmarkEnd w:id="30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8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r>
      <w:tr>
        <w:trPr>
          <w:trHeight w:val="794"/>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6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8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GmbH</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GmbH</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Inc.</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USA</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Inc.</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USA</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Ophthalmology Division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Division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Bone Diseases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Growth Disorders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Oncology Division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Nordics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Europe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UK, Limited</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Iberia S.L.</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France SASU</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45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tc>
      </w:tr>
      <w:tr>
        <w:trPr>
          <w:trHeight w:val="471"/>
        </w:trPr>
        <w:tc>
          <w:tcPr>
            <w:tcW w:w="8240" w:type="dxa"/>
            <w:vAlign w:val="bottom"/>
            <w:gridSpan w:val="2"/>
          </w:tcPr>
          <w:p>
            <w:pPr>
              <w:spacing w:after="0"/>
              <w:rPr>
                <w:sz w:val="20"/>
                <w:szCs w:val="20"/>
                <w:color w:val="auto"/>
              </w:rPr>
            </w:pPr>
            <w:r>
              <w:rPr>
                <w:rFonts w:ascii="Arial" w:cs="Arial" w:eastAsia="Arial" w:hAnsi="Arial"/>
                <w:sz w:val="22"/>
                <w:szCs w:val="22"/>
                <w:color w:val="008EB0"/>
              </w:rPr>
              <w:t>Insider Trading Compliance Policy</w:t>
            </w:r>
          </w:p>
        </w:tc>
        <w:tc>
          <w:tcPr>
            <w:tcW w:w="3000" w:type="dxa"/>
            <w:vAlign w:val="bottom"/>
          </w:tcPr>
          <w:p>
            <w:pPr>
              <w:spacing w:after="0"/>
              <w:rPr>
                <w:sz w:val="24"/>
                <w:szCs w:val="24"/>
                <w:color w:val="auto"/>
              </w:rPr>
            </w:pPr>
          </w:p>
        </w:tc>
      </w:tr>
      <w:tr>
        <w:trPr>
          <w:trHeight w:val="457"/>
        </w:trPr>
        <w:tc>
          <w:tcPr>
            <w:tcW w:w="1100" w:type="dxa"/>
            <w:vAlign w:val="bottom"/>
          </w:tcPr>
          <w:p>
            <w:pPr>
              <w:spacing w:after="0"/>
              <w:rPr>
                <w:sz w:val="20"/>
                <w:szCs w:val="20"/>
                <w:color w:val="auto"/>
              </w:rPr>
            </w:pPr>
            <w:r>
              <w:rPr>
                <w:rFonts w:ascii="Arial" w:cs="Arial" w:eastAsia="Arial" w:hAnsi="Arial"/>
                <w:sz w:val="22"/>
                <w:szCs w:val="22"/>
                <w:color w:val="008EB0"/>
              </w:rPr>
              <w:t>Contents</w:t>
            </w:r>
          </w:p>
        </w:tc>
        <w:tc>
          <w:tcPr>
            <w:tcW w:w="71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6"/>
        </w:trPr>
        <w:tc>
          <w:tcPr>
            <w:tcW w:w="1100" w:type="dxa"/>
            <w:vAlign w:val="bottom"/>
          </w:tcPr>
          <w:p>
            <w:pPr>
              <w:ind w:left="20"/>
              <w:spacing w:after="0"/>
              <w:rPr>
                <w:sz w:val="20"/>
                <w:szCs w:val="20"/>
                <w:color w:val="auto"/>
              </w:rPr>
            </w:pPr>
            <w:r>
              <w:rPr>
                <w:rFonts w:ascii="Arial" w:cs="Arial" w:eastAsia="Arial" w:hAnsi="Arial"/>
                <w:sz w:val="18"/>
                <w:szCs w:val="18"/>
                <w:color w:val="auto"/>
              </w:rPr>
              <w:t>1</w:t>
            </w:r>
          </w:p>
        </w:tc>
        <w:tc>
          <w:tcPr>
            <w:tcW w:w="7140" w:type="dxa"/>
            <w:vAlign w:val="bottom"/>
          </w:tcPr>
          <w:p>
            <w:pPr>
              <w:ind w:left="220"/>
              <w:spacing w:after="0"/>
              <w:rPr>
                <w:sz w:val="20"/>
                <w:szCs w:val="20"/>
                <w:color w:val="auto"/>
              </w:rPr>
            </w:pPr>
            <w:r>
              <w:rPr>
                <w:rFonts w:ascii="Arial" w:cs="Arial" w:eastAsia="Arial" w:hAnsi="Arial"/>
                <w:sz w:val="18"/>
                <w:szCs w:val="18"/>
                <w:color w:val="auto"/>
              </w:rPr>
              <w:t>Purpose</w:t>
            </w:r>
          </w:p>
        </w:tc>
        <w:tc>
          <w:tcPr>
            <w:tcW w:w="3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2</w:t>
            </w:r>
          </w:p>
        </w:tc>
        <w:tc>
          <w:tcPr>
            <w:tcW w:w="7140" w:type="dxa"/>
            <w:vAlign w:val="bottom"/>
          </w:tcPr>
          <w:p>
            <w:pPr>
              <w:ind w:left="220"/>
              <w:spacing w:after="0"/>
              <w:rPr>
                <w:sz w:val="20"/>
                <w:szCs w:val="20"/>
                <w:color w:val="auto"/>
              </w:rPr>
            </w:pPr>
            <w:r>
              <w:rPr>
                <w:rFonts w:ascii="Arial" w:cs="Arial" w:eastAsia="Arial" w:hAnsi="Arial"/>
                <w:sz w:val="18"/>
                <w:szCs w:val="18"/>
                <w:color w:val="auto"/>
              </w:rPr>
              <w:t>Scope &amp; Definitions</w:t>
            </w:r>
          </w:p>
        </w:tc>
        <w:tc>
          <w:tcPr>
            <w:tcW w:w="3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3</w:t>
            </w:r>
          </w:p>
        </w:tc>
        <w:tc>
          <w:tcPr>
            <w:tcW w:w="7140" w:type="dxa"/>
            <w:vAlign w:val="bottom"/>
          </w:tcPr>
          <w:p>
            <w:pPr>
              <w:ind w:left="220"/>
              <w:spacing w:after="0"/>
              <w:rPr>
                <w:sz w:val="20"/>
                <w:szCs w:val="20"/>
                <w:color w:val="auto"/>
              </w:rPr>
            </w:pPr>
            <w:r>
              <w:rPr>
                <w:rFonts w:ascii="Arial" w:cs="Arial" w:eastAsia="Arial" w:hAnsi="Arial"/>
                <w:sz w:val="18"/>
                <w:szCs w:val="18"/>
                <w:color w:val="auto"/>
              </w:rPr>
              <w:t>Applicability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4</w:t>
            </w:r>
          </w:p>
        </w:tc>
        <w:tc>
          <w:tcPr>
            <w:tcW w:w="7140" w:type="dxa"/>
            <w:vAlign w:val="bottom"/>
          </w:tcPr>
          <w:p>
            <w:pPr>
              <w:ind w:left="220"/>
              <w:spacing w:after="0"/>
              <w:rPr>
                <w:sz w:val="20"/>
                <w:szCs w:val="20"/>
                <w:color w:val="auto"/>
              </w:rPr>
            </w:pPr>
            <w:r>
              <w:rPr>
                <w:rFonts w:ascii="Arial" w:cs="Arial" w:eastAsia="Arial" w:hAnsi="Arial"/>
                <w:sz w:val="18"/>
                <w:szCs w:val="18"/>
                <w:color w:val="auto"/>
              </w:rPr>
              <w:t>Explanation of “Insider Trading”</w:t>
            </w:r>
          </w:p>
        </w:tc>
        <w:tc>
          <w:tcPr>
            <w:tcW w:w="3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3"/>
        </w:trPr>
        <w:tc>
          <w:tcPr>
            <w:tcW w:w="1100" w:type="dxa"/>
            <w:vAlign w:val="bottom"/>
          </w:tcPr>
          <w:p>
            <w:pPr>
              <w:ind w:left="520"/>
              <w:spacing w:after="0"/>
              <w:rPr>
                <w:sz w:val="20"/>
                <w:szCs w:val="20"/>
                <w:color w:val="auto"/>
              </w:rPr>
            </w:pPr>
            <w:r>
              <w:rPr>
                <w:rFonts w:ascii="Arial" w:cs="Arial" w:eastAsia="Arial" w:hAnsi="Arial"/>
                <w:sz w:val="18"/>
                <w:szCs w:val="18"/>
                <w:color w:val="auto"/>
              </w:rPr>
              <w:t>4.1</w:t>
            </w:r>
          </w:p>
        </w:tc>
        <w:tc>
          <w:tcPr>
            <w:tcW w:w="7140" w:type="dxa"/>
            <w:vAlign w:val="bottom"/>
          </w:tcPr>
          <w:p>
            <w:pPr>
              <w:ind w:left="220"/>
              <w:spacing w:after="0"/>
              <w:rPr>
                <w:sz w:val="20"/>
                <w:szCs w:val="20"/>
                <w:color w:val="auto"/>
              </w:rPr>
            </w:pPr>
            <w:r>
              <w:rPr>
                <w:rFonts w:ascii="Arial" w:cs="Arial" w:eastAsia="Arial" w:hAnsi="Arial"/>
                <w:sz w:val="18"/>
                <w:szCs w:val="18"/>
                <w:color w:val="auto"/>
              </w:rPr>
              <w:t>What is Insider Trading?</w:t>
            </w:r>
          </w:p>
        </w:tc>
        <w:tc>
          <w:tcPr>
            <w:tcW w:w="3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3"/>
        </w:trPr>
        <w:tc>
          <w:tcPr>
            <w:tcW w:w="1100" w:type="dxa"/>
            <w:vAlign w:val="bottom"/>
          </w:tcPr>
          <w:p>
            <w:pPr>
              <w:ind w:left="520"/>
              <w:spacing w:after="0"/>
              <w:rPr>
                <w:sz w:val="20"/>
                <w:szCs w:val="20"/>
                <w:color w:val="auto"/>
              </w:rPr>
            </w:pPr>
            <w:r>
              <w:rPr>
                <w:rFonts w:ascii="Arial" w:cs="Arial" w:eastAsia="Arial" w:hAnsi="Arial"/>
                <w:sz w:val="18"/>
                <w:szCs w:val="18"/>
                <w:color w:val="auto"/>
              </w:rPr>
              <w:t>4.2</w:t>
            </w:r>
          </w:p>
        </w:tc>
        <w:tc>
          <w:tcPr>
            <w:tcW w:w="7140" w:type="dxa"/>
            <w:vAlign w:val="bottom"/>
          </w:tcPr>
          <w:p>
            <w:pPr>
              <w:ind w:left="220"/>
              <w:spacing w:after="0"/>
              <w:rPr>
                <w:sz w:val="20"/>
                <w:szCs w:val="20"/>
                <w:color w:val="auto"/>
              </w:rPr>
            </w:pPr>
            <w:r>
              <w:rPr>
                <w:rFonts w:ascii="Arial" w:cs="Arial" w:eastAsia="Arial" w:hAnsi="Arial"/>
                <w:sz w:val="18"/>
                <w:szCs w:val="18"/>
                <w:color w:val="auto"/>
              </w:rPr>
              <w:t>What information is “material”?</w:t>
            </w:r>
          </w:p>
        </w:tc>
        <w:tc>
          <w:tcPr>
            <w:tcW w:w="3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3"/>
        </w:trPr>
        <w:tc>
          <w:tcPr>
            <w:tcW w:w="1100" w:type="dxa"/>
            <w:vAlign w:val="bottom"/>
          </w:tcPr>
          <w:p>
            <w:pPr>
              <w:ind w:left="520"/>
              <w:spacing w:after="0"/>
              <w:rPr>
                <w:sz w:val="20"/>
                <w:szCs w:val="20"/>
                <w:color w:val="auto"/>
              </w:rPr>
            </w:pPr>
            <w:r>
              <w:rPr>
                <w:rFonts w:ascii="Arial" w:cs="Arial" w:eastAsia="Arial" w:hAnsi="Arial"/>
                <w:sz w:val="18"/>
                <w:szCs w:val="18"/>
                <w:color w:val="auto"/>
              </w:rPr>
              <w:t>4.3</w:t>
            </w:r>
          </w:p>
        </w:tc>
        <w:tc>
          <w:tcPr>
            <w:tcW w:w="7140" w:type="dxa"/>
            <w:vAlign w:val="bottom"/>
          </w:tcPr>
          <w:p>
            <w:pPr>
              <w:ind w:left="220"/>
              <w:spacing w:after="0"/>
              <w:rPr>
                <w:sz w:val="20"/>
                <w:szCs w:val="20"/>
                <w:color w:val="auto"/>
              </w:rPr>
            </w:pPr>
            <w:r>
              <w:rPr>
                <w:rFonts w:ascii="Arial" w:cs="Arial" w:eastAsia="Arial" w:hAnsi="Arial"/>
                <w:sz w:val="18"/>
                <w:szCs w:val="18"/>
                <w:color w:val="auto"/>
              </w:rPr>
              <w:t>What is “non-public” information?</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3"/>
        </w:trPr>
        <w:tc>
          <w:tcPr>
            <w:tcW w:w="1100" w:type="dxa"/>
            <w:vAlign w:val="bottom"/>
          </w:tcPr>
          <w:p>
            <w:pPr>
              <w:ind w:left="520"/>
              <w:spacing w:after="0"/>
              <w:rPr>
                <w:sz w:val="20"/>
                <w:szCs w:val="20"/>
                <w:color w:val="auto"/>
              </w:rPr>
            </w:pPr>
            <w:r>
              <w:rPr>
                <w:rFonts w:ascii="Arial" w:cs="Arial" w:eastAsia="Arial" w:hAnsi="Arial"/>
                <w:sz w:val="18"/>
                <w:szCs w:val="18"/>
                <w:color w:val="auto"/>
              </w:rPr>
              <w:t>4.4</w:t>
            </w:r>
          </w:p>
        </w:tc>
        <w:tc>
          <w:tcPr>
            <w:tcW w:w="7140" w:type="dxa"/>
            <w:vAlign w:val="bottom"/>
          </w:tcPr>
          <w:p>
            <w:pPr>
              <w:ind w:left="220"/>
              <w:spacing w:after="0"/>
              <w:rPr>
                <w:sz w:val="20"/>
                <w:szCs w:val="20"/>
                <w:color w:val="auto"/>
              </w:rPr>
            </w:pPr>
            <w:r>
              <w:rPr>
                <w:rFonts w:ascii="Arial" w:cs="Arial" w:eastAsia="Arial" w:hAnsi="Arial"/>
                <w:sz w:val="18"/>
                <w:szCs w:val="18"/>
                <w:color w:val="auto"/>
              </w:rPr>
              <w:t>Who is an Insider?</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5</w:t>
            </w:r>
          </w:p>
        </w:tc>
        <w:tc>
          <w:tcPr>
            <w:tcW w:w="7140" w:type="dxa"/>
            <w:vAlign w:val="bottom"/>
          </w:tcPr>
          <w:p>
            <w:pPr>
              <w:ind w:left="220"/>
              <w:spacing w:after="0"/>
              <w:rPr>
                <w:sz w:val="20"/>
                <w:szCs w:val="20"/>
                <w:color w:val="auto"/>
              </w:rPr>
            </w:pPr>
            <w:r>
              <w:rPr>
                <w:rFonts w:ascii="Arial" w:cs="Arial" w:eastAsia="Arial" w:hAnsi="Arial"/>
                <w:sz w:val="18"/>
                <w:szCs w:val="18"/>
                <w:color w:val="auto"/>
              </w:rPr>
              <w:t>Procedures</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3"/>
        </w:trPr>
        <w:tc>
          <w:tcPr>
            <w:tcW w:w="1100" w:type="dxa"/>
            <w:vAlign w:val="bottom"/>
          </w:tcPr>
          <w:p>
            <w:pPr>
              <w:ind w:left="520"/>
              <w:spacing w:after="0"/>
              <w:rPr>
                <w:sz w:val="20"/>
                <w:szCs w:val="20"/>
                <w:color w:val="auto"/>
              </w:rPr>
            </w:pPr>
            <w:r>
              <w:rPr>
                <w:rFonts w:ascii="Arial" w:cs="Arial" w:eastAsia="Arial" w:hAnsi="Arial"/>
                <w:sz w:val="18"/>
                <w:szCs w:val="18"/>
                <w:color w:val="auto"/>
              </w:rPr>
              <w:t>5.1</w:t>
            </w:r>
          </w:p>
        </w:tc>
        <w:tc>
          <w:tcPr>
            <w:tcW w:w="7140" w:type="dxa"/>
            <w:vAlign w:val="bottom"/>
          </w:tcPr>
          <w:p>
            <w:pPr>
              <w:ind w:left="220"/>
              <w:spacing w:after="0"/>
              <w:rPr>
                <w:sz w:val="20"/>
                <w:szCs w:val="20"/>
                <w:color w:val="auto"/>
              </w:rPr>
            </w:pPr>
            <w:r>
              <w:rPr>
                <w:rFonts w:ascii="Arial" w:cs="Arial" w:eastAsia="Arial" w:hAnsi="Arial"/>
                <w:sz w:val="18"/>
                <w:szCs w:val="18"/>
                <w:color w:val="auto"/>
              </w:rPr>
              <w:t>Supporting requirements</w:t>
            </w:r>
          </w:p>
        </w:tc>
        <w:tc>
          <w:tcPr>
            <w:tcW w:w="3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3"/>
        </w:trPr>
        <w:tc>
          <w:tcPr>
            <w:tcW w:w="1100" w:type="dxa"/>
            <w:vAlign w:val="bottom"/>
          </w:tcPr>
          <w:p>
            <w:pPr>
              <w:ind w:left="520"/>
              <w:spacing w:after="0"/>
              <w:rPr>
                <w:sz w:val="20"/>
                <w:szCs w:val="20"/>
                <w:color w:val="auto"/>
              </w:rPr>
            </w:pPr>
            <w:r>
              <w:rPr>
                <w:rFonts w:ascii="Arial" w:cs="Arial" w:eastAsia="Arial" w:hAnsi="Arial"/>
                <w:sz w:val="18"/>
                <w:szCs w:val="18"/>
                <w:color w:val="auto"/>
              </w:rPr>
              <w:t>5.2</w:t>
            </w:r>
          </w:p>
        </w:tc>
        <w:tc>
          <w:tcPr>
            <w:tcW w:w="7140" w:type="dxa"/>
            <w:vAlign w:val="bottom"/>
          </w:tcPr>
          <w:p>
            <w:pPr>
              <w:ind w:left="220"/>
              <w:spacing w:after="0"/>
              <w:rPr>
                <w:sz w:val="20"/>
                <w:szCs w:val="20"/>
                <w:color w:val="auto"/>
              </w:rPr>
            </w:pPr>
            <w:r>
              <w:rPr>
                <w:rFonts w:ascii="Arial" w:cs="Arial" w:eastAsia="Arial" w:hAnsi="Arial"/>
                <w:sz w:val="18"/>
                <w:szCs w:val="18"/>
                <w:color w:val="auto"/>
              </w:rPr>
              <w:t>Prohibition against Insider Trading</w:t>
            </w:r>
          </w:p>
        </w:tc>
        <w:tc>
          <w:tcPr>
            <w:tcW w:w="3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6</w:t>
            </w:r>
          </w:p>
        </w:tc>
        <w:tc>
          <w:tcPr>
            <w:tcW w:w="7140" w:type="dxa"/>
            <w:vAlign w:val="bottom"/>
          </w:tcPr>
          <w:p>
            <w:pPr>
              <w:ind w:left="220"/>
              <w:spacing w:after="0"/>
              <w:rPr>
                <w:sz w:val="20"/>
                <w:szCs w:val="20"/>
                <w:color w:val="auto"/>
              </w:rPr>
            </w:pPr>
            <w:r>
              <w:rPr>
                <w:rFonts w:ascii="Arial" w:cs="Arial" w:eastAsia="Arial" w:hAnsi="Arial"/>
                <w:sz w:val="18"/>
                <w:szCs w:val="18"/>
                <w:color w:val="auto"/>
              </w:rPr>
              <w:t>Documentation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7</w:t>
            </w:r>
          </w:p>
        </w:tc>
        <w:tc>
          <w:tcPr>
            <w:tcW w:w="7140" w:type="dxa"/>
            <w:vAlign w:val="bottom"/>
          </w:tcPr>
          <w:p>
            <w:pPr>
              <w:ind w:left="220"/>
              <w:spacing w:after="0"/>
              <w:rPr>
                <w:sz w:val="20"/>
                <w:szCs w:val="20"/>
                <w:color w:val="auto"/>
              </w:rPr>
            </w:pPr>
            <w:r>
              <w:rPr>
                <w:rFonts w:ascii="Arial" w:cs="Arial" w:eastAsia="Arial" w:hAnsi="Arial"/>
                <w:sz w:val="18"/>
                <w:szCs w:val="18"/>
                <w:color w:val="auto"/>
              </w:rPr>
              <w:t>Rule 10b5-1 Trading Plans</w:t>
            </w:r>
          </w:p>
        </w:tc>
        <w:tc>
          <w:tcPr>
            <w:tcW w:w="3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3"/>
        </w:trPr>
        <w:tc>
          <w:tcPr>
            <w:tcW w:w="1100" w:type="dxa"/>
            <w:vAlign w:val="bottom"/>
          </w:tcPr>
          <w:p>
            <w:pPr>
              <w:ind w:left="520"/>
              <w:spacing w:after="0"/>
              <w:rPr>
                <w:sz w:val="20"/>
                <w:szCs w:val="20"/>
                <w:color w:val="auto"/>
              </w:rPr>
            </w:pPr>
            <w:r>
              <w:rPr>
                <w:rFonts w:ascii="Arial" w:cs="Arial" w:eastAsia="Arial" w:hAnsi="Arial"/>
                <w:sz w:val="18"/>
                <w:szCs w:val="18"/>
                <w:color w:val="auto"/>
              </w:rPr>
              <w:t>7.1</w:t>
            </w:r>
          </w:p>
        </w:tc>
        <w:tc>
          <w:tcPr>
            <w:tcW w:w="7140" w:type="dxa"/>
            <w:vAlign w:val="bottom"/>
          </w:tcPr>
          <w:p>
            <w:pPr>
              <w:ind w:left="220"/>
              <w:spacing w:after="0"/>
              <w:rPr>
                <w:sz w:val="20"/>
                <w:szCs w:val="20"/>
                <w:color w:val="auto"/>
              </w:rPr>
            </w:pPr>
            <w:r>
              <w:rPr>
                <w:rFonts w:ascii="Arial" w:cs="Arial" w:eastAsia="Arial" w:hAnsi="Arial"/>
                <w:sz w:val="18"/>
                <w:szCs w:val="18"/>
                <w:color w:val="auto"/>
              </w:rPr>
              <w:t>Rule 10b5-1 Trading Plans</w:t>
            </w:r>
          </w:p>
        </w:tc>
        <w:tc>
          <w:tcPr>
            <w:tcW w:w="3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8</w:t>
            </w:r>
          </w:p>
        </w:tc>
        <w:tc>
          <w:tcPr>
            <w:tcW w:w="7140" w:type="dxa"/>
            <w:vAlign w:val="bottom"/>
          </w:tcPr>
          <w:p>
            <w:pPr>
              <w:ind w:left="220"/>
              <w:spacing w:after="0"/>
              <w:rPr>
                <w:sz w:val="20"/>
                <w:szCs w:val="20"/>
                <w:color w:val="auto"/>
              </w:rPr>
            </w:pPr>
            <w:r>
              <w:rPr>
                <w:rFonts w:ascii="Arial" w:cs="Arial" w:eastAsia="Arial" w:hAnsi="Arial"/>
                <w:sz w:val="18"/>
                <w:szCs w:val="18"/>
                <w:color w:val="auto"/>
              </w:rPr>
              <w:t>Interpretation, Amendment, and Implementation of this Policy</w:t>
            </w:r>
          </w:p>
        </w:tc>
        <w:tc>
          <w:tcPr>
            <w:tcW w:w="3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9</w:t>
            </w:r>
          </w:p>
        </w:tc>
        <w:tc>
          <w:tcPr>
            <w:tcW w:w="7140" w:type="dxa"/>
            <w:vAlign w:val="bottom"/>
          </w:tcPr>
          <w:p>
            <w:pPr>
              <w:ind w:left="220"/>
              <w:spacing w:after="0"/>
              <w:rPr>
                <w:sz w:val="20"/>
                <w:szCs w:val="20"/>
                <w:color w:val="auto"/>
              </w:rPr>
            </w:pPr>
            <w:r>
              <w:rPr>
                <w:rFonts w:ascii="Arial" w:cs="Arial" w:eastAsia="Arial" w:hAnsi="Arial"/>
                <w:sz w:val="18"/>
                <w:szCs w:val="18"/>
                <w:color w:val="auto"/>
              </w:rPr>
              <w:t>References</w:t>
            </w:r>
          </w:p>
        </w:tc>
        <w:tc>
          <w:tcPr>
            <w:tcW w:w="3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10</w:t>
            </w:r>
          </w:p>
        </w:tc>
        <w:tc>
          <w:tcPr>
            <w:tcW w:w="7140" w:type="dxa"/>
            <w:vAlign w:val="bottom"/>
          </w:tcPr>
          <w:p>
            <w:pPr>
              <w:ind w:left="220"/>
              <w:spacing w:after="0"/>
              <w:rPr>
                <w:sz w:val="20"/>
                <w:szCs w:val="20"/>
                <w:color w:val="auto"/>
              </w:rPr>
            </w:pPr>
            <w:r>
              <w:rPr>
                <w:rFonts w:ascii="Arial" w:cs="Arial" w:eastAsia="Arial" w:hAnsi="Arial"/>
                <w:sz w:val="18"/>
                <w:szCs w:val="18"/>
                <w:color w:val="auto"/>
              </w:rPr>
              <w:t>Change Log</w:t>
            </w:r>
          </w:p>
        </w:tc>
        <w:tc>
          <w:tcPr>
            <w:tcW w:w="3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388"/>
        </w:trPr>
        <w:tc>
          <w:tcPr>
            <w:tcW w:w="11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1" w:name="page312"/>
    <w:bookmarkEnd w:id="311"/>
    <w:p>
      <w:pPr>
        <w:ind w:left="480" w:hanging="472"/>
        <w:spacing w:after="0"/>
        <w:tabs>
          <w:tab w:leader="none" w:pos="480" w:val="left"/>
        </w:tabs>
        <w:numPr>
          <w:ilvl w:val="0"/>
          <w:numId w:val="198"/>
        </w:numPr>
        <w:rPr>
          <w:rFonts w:ascii="Arial" w:cs="Arial" w:eastAsia="Arial" w:hAnsi="Arial"/>
          <w:sz w:val="22"/>
          <w:szCs w:val="22"/>
          <w:color w:val="008EB0"/>
        </w:rPr>
      </w:pPr>
      <w:r>
        <w:rPr>
          <w:rFonts w:ascii="Arial" w:cs="Arial" w:eastAsia="Arial" w:hAnsi="Arial"/>
          <w:sz w:val="22"/>
          <w:szCs w:val="22"/>
          <w:color w:val="008EB0"/>
        </w:rPr>
        <w:t>Purpose</w:t>
      </w:r>
    </w:p>
    <w:p>
      <w:pPr>
        <w:spacing w:after="0" w:line="306"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Insider Trading is illegal for all individuals independent of their country of residence, and individuals outside of the US may be prosecuted for violation of the Insider Trading rules.</w:t>
      </w:r>
    </w:p>
    <w:p>
      <w:pPr>
        <w:spacing w:after="0" w:line="140"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“Insider Trading” occurs when any person purchases or sells a security (e.g., Company ordinary shares or American Depositary Shares (ADS) representing ordinary shares) while in possession of “material non-public information” relating to the security. Please see Section 3 below for more information on what constitutes information that is both “material” and “non-public.”</w:t>
      </w:r>
    </w:p>
    <w:p>
      <w:pPr>
        <w:spacing w:after="0" w:line="15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Compliance with this Policy is crucial to abide the laws and regulations, as well as preserve the reputation and integrity of Ascendis Pharma (the “</w:t>
      </w:r>
      <w:r>
        <w:rPr>
          <w:rFonts w:ascii="Arial" w:cs="Arial" w:eastAsia="Arial" w:hAnsi="Arial"/>
          <w:sz w:val="18"/>
          <w:szCs w:val="18"/>
          <w:b w:val="1"/>
          <w:bCs w:val="1"/>
          <w:color w:val="auto"/>
        </w:rPr>
        <w:t>Company</w:t>
      </w:r>
      <w:r>
        <w:rPr>
          <w:rFonts w:ascii="Arial" w:cs="Arial" w:eastAsia="Arial" w:hAnsi="Arial"/>
          <w:sz w:val="18"/>
          <w:szCs w:val="18"/>
          <w:color w:val="auto"/>
        </w:rPr>
        <w:t>”) and to protect individuals against violating Insider Trading rules and risking criminal charges.</w:t>
      </w:r>
    </w:p>
    <w:p>
      <w:pPr>
        <w:spacing w:after="0" w:line="124"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The purpose of this Insider Trading Compliance Policy (the “</w:t>
      </w:r>
      <w:r>
        <w:rPr>
          <w:rFonts w:ascii="Arial" w:cs="Arial" w:eastAsia="Arial" w:hAnsi="Arial"/>
          <w:sz w:val="18"/>
          <w:szCs w:val="18"/>
          <w:b w:val="1"/>
          <w:bCs w:val="1"/>
          <w:color w:val="auto"/>
        </w:rPr>
        <w:t>Policy</w:t>
      </w:r>
      <w:r>
        <w:rPr>
          <w:rFonts w:ascii="Arial" w:cs="Arial" w:eastAsia="Arial" w:hAnsi="Arial"/>
          <w:sz w:val="18"/>
          <w:szCs w:val="18"/>
          <w:color w:val="auto"/>
        </w:rPr>
        <w:t>”) is to outline your responsibilities to avoid insider trading and implement certain procedures to help you avoid even the appearance of insider trading.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Violation of the Policy by Ascendis Pharma Individuals may cause disciplinary actions, including potentially termination of employment.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Further, violations may be reported to relevant law enforcement authorities.</w:t>
      </w:r>
    </w:p>
    <w:p>
      <w:pPr>
        <w:spacing w:after="0" w:line="184" w:lineRule="exact"/>
        <w:rPr>
          <w:sz w:val="20"/>
          <w:szCs w:val="20"/>
          <w:color w:val="auto"/>
        </w:rPr>
      </w:pPr>
    </w:p>
    <w:p>
      <w:pPr>
        <w:ind w:left="480" w:hanging="472"/>
        <w:spacing w:after="0"/>
        <w:tabs>
          <w:tab w:leader="none" w:pos="480" w:val="left"/>
        </w:tabs>
        <w:numPr>
          <w:ilvl w:val="0"/>
          <w:numId w:val="199"/>
        </w:numPr>
        <w:rPr>
          <w:rFonts w:ascii="Arial" w:cs="Arial" w:eastAsia="Arial" w:hAnsi="Arial"/>
          <w:sz w:val="22"/>
          <w:szCs w:val="22"/>
          <w:color w:val="008EB0"/>
        </w:rPr>
      </w:pPr>
      <w:r>
        <w:rPr>
          <w:rFonts w:ascii="Arial" w:cs="Arial" w:eastAsia="Arial" w:hAnsi="Arial"/>
          <w:sz w:val="22"/>
          <w:szCs w:val="22"/>
          <w:color w:val="008EB0"/>
        </w:rPr>
        <w:t>Scope &amp; Definitions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Certain definitions used in this Policy:</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000" w:type="dxa"/>
            <w:vAlign w:val="bottom"/>
            <w:tcBorders>
              <w:top w:val="single" w:sz="8" w:color="008EB0"/>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Ascendis Pharma:</w:t>
            </w:r>
          </w:p>
        </w:tc>
        <w:tc>
          <w:tcPr>
            <w:tcW w:w="8240" w:type="dxa"/>
            <w:vAlign w:val="bottom"/>
            <w:tcBorders>
              <w:top w:val="single" w:sz="8" w:color="008EB0"/>
            </w:tcBorders>
            <w:gridSpan w:val="2"/>
          </w:tcPr>
          <w:p>
            <w:pPr>
              <w:ind w:left="40"/>
              <w:spacing w:after="0"/>
              <w:rPr>
                <w:sz w:val="20"/>
                <w:szCs w:val="20"/>
                <w:color w:val="auto"/>
              </w:rPr>
            </w:pPr>
            <w:r>
              <w:rPr>
                <w:rFonts w:ascii="Arial" w:cs="Arial" w:eastAsia="Arial" w:hAnsi="Arial"/>
                <w:sz w:val="18"/>
                <w:szCs w:val="18"/>
                <w:color w:val="auto"/>
              </w:rPr>
              <w:t>Ascendis Pharma A/S and subsidiaries of Ascendis Pharma A/S.</w:t>
            </w:r>
          </w:p>
        </w:tc>
      </w:tr>
      <w:tr>
        <w:trPr>
          <w:trHeight w:val="221"/>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tcBorders>
            <w:gridSpan w:val="2"/>
          </w:tcPr>
          <w:p>
            <w:pPr>
              <w:spacing w:after="0"/>
              <w:rPr>
                <w:sz w:val="19"/>
                <w:szCs w:val="19"/>
                <w:color w:val="auto"/>
              </w:rPr>
            </w:pPr>
          </w:p>
        </w:tc>
      </w:tr>
      <w:tr>
        <w:trPr>
          <w:trHeight w:val="220"/>
        </w:trPr>
        <w:tc>
          <w:tcPr>
            <w:tcW w:w="3000" w:type="dxa"/>
            <w:vAlign w:val="bottom"/>
          </w:tcPr>
          <w:p>
            <w:pPr>
              <w:ind w:left="80"/>
              <w:spacing w:after="0"/>
              <w:rPr>
                <w:sz w:val="20"/>
                <w:szCs w:val="20"/>
                <w:color w:val="auto"/>
              </w:rPr>
            </w:pPr>
            <w:r>
              <w:rPr>
                <w:rFonts w:ascii="Arial" w:cs="Arial" w:eastAsia="Arial" w:hAnsi="Arial"/>
                <w:sz w:val="18"/>
                <w:szCs w:val="18"/>
                <w:color w:val="auto"/>
              </w:rPr>
              <w:t>Ascendis Pharma Individuals:</w:t>
            </w: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All officers, board members, employees and Eligible Consultants of Ascendis Pharma and its</w:t>
            </w:r>
          </w:p>
        </w:tc>
      </w:tr>
      <w:tr>
        <w:trPr>
          <w:trHeight w:val="238"/>
        </w:trPr>
        <w:tc>
          <w:tcPr>
            <w:tcW w:w="3000" w:type="dxa"/>
            <w:vAlign w:val="bottom"/>
          </w:tcPr>
          <w:p>
            <w:pPr>
              <w:spacing w:after="0"/>
              <w:rPr>
                <w:sz w:val="20"/>
                <w:szCs w:val="20"/>
                <w:color w:val="auto"/>
              </w:rPr>
            </w:pP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subsidiaries.</w:t>
            </w:r>
          </w:p>
        </w:tc>
      </w:tr>
      <w:tr>
        <w:trPr>
          <w:trHeight w:val="23"/>
        </w:trPr>
        <w:tc>
          <w:tcPr>
            <w:tcW w:w="3000" w:type="dxa"/>
            <w:vAlign w:val="bottom"/>
            <w:tcBorders>
              <w:bottom w:val="single" w:sz="8" w:color="008EB0"/>
            </w:tcBorders>
          </w:tcPr>
          <w:p>
            <w:pPr>
              <w:spacing w:after="0" w:line="20" w:lineRule="exact"/>
              <w:rPr>
                <w:sz w:val="1"/>
                <w:szCs w:val="1"/>
                <w:color w:val="auto"/>
              </w:rPr>
            </w:pPr>
          </w:p>
        </w:tc>
        <w:tc>
          <w:tcPr>
            <w:tcW w:w="8240" w:type="dxa"/>
            <w:vAlign w:val="bottom"/>
            <w:tcBorders>
              <w:bottom w:val="single" w:sz="8" w:color="008EB0"/>
            </w:tcBorders>
            <w:gridSpan w:val="2"/>
          </w:tcPr>
          <w:p>
            <w:pPr>
              <w:spacing w:after="0" w:line="20" w:lineRule="exact"/>
              <w:rPr>
                <w:sz w:val="1"/>
                <w:szCs w:val="1"/>
                <w:color w:val="auto"/>
              </w:rPr>
            </w:pPr>
          </w:p>
        </w:tc>
      </w:tr>
      <w:tr>
        <w:trPr>
          <w:trHeight w:val="217"/>
        </w:trPr>
        <w:tc>
          <w:tcPr>
            <w:tcW w:w="3000" w:type="dxa"/>
            <w:vAlign w:val="bottom"/>
          </w:tcPr>
          <w:p>
            <w:pPr>
              <w:ind w:left="80"/>
              <w:spacing w:after="0"/>
              <w:rPr>
                <w:sz w:val="20"/>
                <w:szCs w:val="20"/>
                <w:color w:val="auto"/>
              </w:rPr>
            </w:pPr>
            <w:r>
              <w:rPr>
                <w:rFonts w:ascii="Arial" w:cs="Arial" w:eastAsia="Arial" w:hAnsi="Arial"/>
                <w:sz w:val="18"/>
                <w:szCs w:val="18"/>
                <w:color w:val="auto"/>
              </w:rPr>
              <w:t>Eligible Consultants:</w:t>
            </w: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Consultants who have been i) assigned an @ascendispharma.com e-mail address, ii) granted access</w:t>
            </w:r>
          </w:p>
        </w:tc>
      </w:tr>
      <w:tr>
        <w:trPr>
          <w:trHeight w:val="202"/>
        </w:trPr>
        <w:tc>
          <w:tcPr>
            <w:tcW w:w="3000" w:type="dxa"/>
            <w:vAlign w:val="bottom"/>
          </w:tcPr>
          <w:p>
            <w:pPr>
              <w:spacing w:after="0"/>
              <w:rPr>
                <w:sz w:val="17"/>
                <w:szCs w:val="17"/>
                <w:color w:val="auto"/>
              </w:rPr>
            </w:pPr>
          </w:p>
        </w:tc>
        <w:tc>
          <w:tcPr>
            <w:tcW w:w="82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to the Ascendis Pharma intranet, or iii) granted a card allowing unaccompanied access to the</w:t>
            </w:r>
          </w:p>
        </w:tc>
      </w:tr>
      <w:tr>
        <w:trPr>
          <w:trHeight w:val="202"/>
        </w:trPr>
        <w:tc>
          <w:tcPr>
            <w:tcW w:w="3000" w:type="dxa"/>
            <w:vAlign w:val="bottom"/>
          </w:tcPr>
          <w:p>
            <w:pPr>
              <w:spacing w:after="0"/>
              <w:rPr>
                <w:sz w:val="17"/>
                <w:szCs w:val="17"/>
                <w:color w:val="auto"/>
              </w:rPr>
            </w:pPr>
          </w:p>
        </w:tc>
        <w:tc>
          <w:tcPr>
            <w:tcW w:w="82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premises of Ascendis Pharma, whether appointed directly by Ascendis Pharma or through their</w:t>
            </w:r>
          </w:p>
        </w:tc>
      </w:tr>
      <w:tr>
        <w:trPr>
          <w:trHeight w:val="202"/>
        </w:trPr>
        <w:tc>
          <w:tcPr>
            <w:tcW w:w="3000" w:type="dxa"/>
            <w:vAlign w:val="bottom"/>
          </w:tcPr>
          <w:p>
            <w:pPr>
              <w:spacing w:after="0"/>
              <w:rPr>
                <w:sz w:val="17"/>
                <w:szCs w:val="17"/>
                <w:color w:val="auto"/>
              </w:rPr>
            </w:pPr>
          </w:p>
        </w:tc>
        <w:tc>
          <w:tcPr>
            <w:tcW w:w="82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employment with consultancy service providers retained by Ascendis Pharma, or iv) identified by</w:t>
            </w:r>
          </w:p>
        </w:tc>
      </w:tr>
      <w:tr>
        <w:trPr>
          <w:trHeight w:val="238"/>
        </w:trPr>
        <w:tc>
          <w:tcPr>
            <w:tcW w:w="3000" w:type="dxa"/>
            <w:vAlign w:val="bottom"/>
          </w:tcPr>
          <w:p>
            <w:pPr>
              <w:spacing w:after="0"/>
              <w:rPr>
                <w:sz w:val="20"/>
                <w:szCs w:val="20"/>
                <w:color w:val="auto"/>
              </w:rPr>
            </w:pP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Ascendis Pharma’s Chief Legal Officer.</w:t>
            </w:r>
          </w:p>
        </w:tc>
      </w:tr>
      <w:tr>
        <w:trPr>
          <w:trHeight w:val="225"/>
        </w:trPr>
        <w:tc>
          <w:tcPr>
            <w:tcW w:w="3000" w:type="dxa"/>
            <w:vAlign w:val="bottom"/>
            <w:tcBorders>
              <w:bottom w:val="single" w:sz="8" w:color="008EB0"/>
            </w:tcBorders>
          </w:tcPr>
          <w:p>
            <w:pPr>
              <w:spacing w:after="0"/>
              <w:rPr>
                <w:sz w:val="19"/>
                <w:szCs w:val="19"/>
                <w:color w:val="auto"/>
              </w:rPr>
            </w:pPr>
          </w:p>
        </w:tc>
        <w:tc>
          <w:tcPr>
            <w:tcW w:w="8240" w:type="dxa"/>
            <w:vAlign w:val="bottom"/>
            <w:tcBorders>
              <w:bottom w:val="single" w:sz="8" w:color="008EB0"/>
            </w:tcBorders>
            <w:gridSpan w:val="2"/>
          </w:tcPr>
          <w:p>
            <w:pPr>
              <w:spacing w:after="0"/>
              <w:rPr>
                <w:sz w:val="19"/>
                <w:szCs w:val="19"/>
                <w:color w:val="auto"/>
              </w:rPr>
            </w:pPr>
          </w:p>
        </w:tc>
      </w:tr>
      <w:tr>
        <w:trPr>
          <w:trHeight w:val="253"/>
        </w:trPr>
        <w:tc>
          <w:tcPr>
            <w:tcW w:w="3000" w:type="dxa"/>
            <w:vAlign w:val="bottom"/>
          </w:tcPr>
          <w:p>
            <w:pPr>
              <w:ind w:left="80"/>
              <w:spacing w:after="0"/>
              <w:rPr>
                <w:sz w:val="20"/>
                <w:szCs w:val="20"/>
                <w:color w:val="auto"/>
              </w:rPr>
            </w:pPr>
            <w:r>
              <w:rPr>
                <w:rFonts w:ascii="Arial" w:cs="Arial" w:eastAsia="Arial" w:hAnsi="Arial"/>
                <w:sz w:val="18"/>
                <w:szCs w:val="18"/>
                <w:color w:val="auto"/>
              </w:rPr>
              <w:t>Event-Specific Blackout:</w:t>
            </w: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Please refer to section 5.2 of this Policy.</w:t>
            </w:r>
          </w:p>
        </w:tc>
      </w:tr>
      <w:tr>
        <w:trPr>
          <w:trHeight w:val="225"/>
        </w:trPr>
        <w:tc>
          <w:tcPr>
            <w:tcW w:w="3000" w:type="dxa"/>
            <w:vAlign w:val="bottom"/>
            <w:tcBorders>
              <w:bottom w:val="single" w:sz="8" w:color="008EB0"/>
            </w:tcBorders>
          </w:tcPr>
          <w:p>
            <w:pPr>
              <w:spacing w:after="0"/>
              <w:rPr>
                <w:sz w:val="19"/>
                <w:szCs w:val="19"/>
                <w:color w:val="auto"/>
              </w:rPr>
            </w:pPr>
          </w:p>
        </w:tc>
        <w:tc>
          <w:tcPr>
            <w:tcW w:w="620" w:type="dxa"/>
            <w:vAlign w:val="bottom"/>
            <w:tcBorders>
              <w:bottom w:val="single" w:sz="8" w:color="008EB0"/>
            </w:tcBorders>
          </w:tcPr>
          <w:p>
            <w:pPr>
              <w:spacing w:after="0"/>
              <w:rPr>
                <w:sz w:val="19"/>
                <w:szCs w:val="19"/>
                <w:color w:val="auto"/>
              </w:rPr>
            </w:pPr>
          </w:p>
        </w:tc>
        <w:tc>
          <w:tcPr>
            <w:tcW w:w="7620" w:type="dxa"/>
            <w:vAlign w:val="bottom"/>
            <w:tcBorders>
              <w:bottom w:val="single" w:sz="8" w:color="008EB0"/>
            </w:tcBorders>
          </w:tcPr>
          <w:p>
            <w:pPr>
              <w:spacing w:after="0"/>
              <w:rPr>
                <w:sz w:val="19"/>
                <w:szCs w:val="19"/>
                <w:color w:val="auto"/>
              </w:rPr>
            </w:pPr>
          </w:p>
        </w:tc>
      </w:tr>
      <w:tr>
        <w:trPr>
          <w:trHeight w:val="217"/>
        </w:trPr>
        <w:tc>
          <w:tcPr>
            <w:tcW w:w="3000" w:type="dxa"/>
            <w:vAlign w:val="bottom"/>
          </w:tcPr>
          <w:p>
            <w:pPr>
              <w:ind w:left="80"/>
              <w:spacing w:after="0"/>
              <w:rPr>
                <w:sz w:val="20"/>
                <w:szCs w:val="20"/>
                <w:color w:val="auto"/>
              </w:rPr>
            </w:pPr>
            <w:r>
              <w:rPr>
                <w:rFonts w:ascii="Arial" w:cs="Arial" w:eastAsia="Arial" w:hAnsi="Arial"/>
                <w:sz w:val="18"/>
                <w:szCs w:val="18"/>
                <w:color w:val="auto"/>
              </w:rPr>
              <w:t>Excluded Transactions:</w:t>
            </w:r>
          </w:p>
        </w:tc>
        <w:tc>
          <w:tcPr>
            <w:tcW w:w="620" w:type="dxa"/>
            <w:vAlign w:val="bottom"/>
          </w:tcPr>
          <w:p>
            <w:pPr>
              <w:ind w:left="360"/>
              <w:spacing w:after="0"/>
              <w:rPr>
                <w:sz w:val="20"/>
                <w:szCs w:val="20"/>
                <w:color w:val="auto"/>
              </w:rPr>
            </w:pPr>
            <w:r>
              <w:rPr>
                <w:rFonts w:ascii="Arial" w:cs="Arial" w:eastAsia="Arial" w:hAnsi="Arial"/>
                <w:sz w:val="18"/>
                <w:szCs w:val="18"/>
                <w:color w:val="auto"/>
              </w:rPr>
              <w:t>i)</w:t>
            </w:r>
          </w:p>
        </w:tc>
        <w:tc>
          <w:tcPr>
            <w:tcW w:w="7620" w:type="dxa"/>
            <w:vAlign w:val="bottom"/>
          </w:tcPr>
          <w:p>
            <w:pPr>
              <w:ind w:left="140"/>
              <w:spacing w:after="0"/>
              <w:rPr>
                <w:sz w:val="20"/>
                <w:szCs w:val="20"/>
                <w:color w:val="auto"/>
              </w:rPr>
            </w:pPr>
            <w:r>
              <w:rPr>
                <w:rFonts w:ascii="Arial" w:cs="Arial" w:eastAsia="Arial" w:hAnsi="Arial"/>
                <w:sz w:val="18"/>
                <w:szCs w:val="18"/>
                <w:color w:val="auto"/>
              </w:rPr>
              <w:t>entering into a deposit arrangement with a depositary for purposes of receiving ADSs from</w:t>
            </w:r>
          </w:p>
        </w:tc>
      </w:tr>
      <w:tr>
        <w:trPr>
          <w:trHeight w:val="202"/>
        </w:trPr>
        <w:tc>
          <w:tcPr>
            <w:tcW w:w="3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20" w:type="dxa"/>
            <w:vAlign w:val="bottom"/>
          </w:tcPr>
          <w:p>
            <w:pPr>
              <w:ind w:left="400"/>
              <w:spacing w:after="0" w:line="201" w:lineRule="exact"/>
              <w:rPr>
                <w:sz w:val="20"/>
                <w:szCs w:val="20"/>
                <w:color w:val="auto"/>
              </w:rPr>
            </w:pPr>
            <w:r>
              <w:rPr>
                <w:rFonts w:ascii="Arial" w:cs="Arial" w:eastAsia="Arial" w:hAnsi="Arial"/>
                <w:sz w:val="18"/>
                <w:szCs w:val="18"/>
                <w:color w:val="auto"/>
              </w:rPr>
              <w:t>the depositary in respect of ordinary shares or warrants or other equity awards</w:t>
            </w:r>
          </w:p>
        </w:tc>
      </w:tr>
      <w:tr>
        <w:trPr>
          <w:trHeight w:val="202"/>
        </w:trPr>
        <w:tc>
          <w:tcPr>
            <w:tcW w:w="3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20" w:type="dxa"/>
            <w:vAlign w:val="bottom"/>
          </w:tcPr>
          <w:p>
            <w:pPr>
              <w:ind w:left="400"/>
              <w:spacing w:after="0" w:line="201" w:lineRule="exact"/>
              <w:rPr>
                <w:sz w:val="20"/>
                <w:szCs w:val="20"/>
                <w:color w:val="auto"/>
              </w:rPr>
            </w:pPr>
            <w:r>
              <w:rPr>
                <w:rFonts w:ascii="Arial" w:cs="Arial" w:eastAsia="Arial" w:hAnsi="Arial"/>
                <w:sz w:val="18"/>
                <w:szCs w:val="18"/>
                <w:color w:val="auto"/>
              </w:rPr>
              <w:t>exercisable for ordinary shares,</w:t>
            </w:r>
          </w:p>
        </w:tc>
      </w:tr>
      <w:tr>
        <w:trPr>
          <w:trHeight w:val="202"/>
        </w:trPr>
        <w:tc>
          <w:tcPr>
            <w:tcW w:w="3000" w:type="dxa"/>
            <w:vAlign w:val="bottom"/>
          </w:tcPr>
          <w:p>
            <w:pPr>
              <w:spacing w:after="0"/>
              <w:rPr>
                <w:sz w:val="17"/>
                <w:szCs w:val="17"/>
                <w:color w:val="auto"/>
              </w:rPr>
            </w:pPr>
          </w:p>
        </w:tc>
        <w:tc>
          <w:tcPr>
            <w:tcW w:w="82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ii)   exercises of warrants or other equity awards, or the surrender of shares to Ascendis Pharma</w:t>
            </w:r>
          </w:p>
        </w:tc>
      </w:tr>
      <w:tr>
        <w:trPr>
          <w:trHeight w:val="202"/>
        </w:trPr>
        <w:tc>
          <w:tcPr>
            <w:tcW w:w="3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20" w:type="dxa"/>
            <w:vAlign w:val="bottom"/>
          </w:tcPr>
          <w:p>
            <w:pPr>
              <w:ind w:left="400"/>
              <w:spacing w:after="0" w:line="201" w:lineRule="exact"/>
              <w:rPr>
                <w:sz w:val="20"/>
                <w:szCs w:val="20"/>
                <w:color w:val="auto"/>
              </w:rPr>
            </w:pPr>
            <w:r>
              <w:rPr>
                <w:rFonts w:ascii="Arial" w:cs="Arial" w:eastAsia="Arial" w:hAnsi="Arial"/>
                <w:sz w:val="18"/>
                <w:szCs w:val="18"/>
                <w:color w:val="auto"/>
              </w:rPr>
              <w:t>in payment of the exercise price or in satisfaction of any tax withholding obligations or</w:t>
            </w:r>
          </w:p>
        </w:tc>
      </w:tr>
      <w:tr>
        <w:trPr>
          <w:trHeight w:val="238"/>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vesting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-2590165</wp:posOffset>
            </wp:positionV>
            <wp:extent cx="7132955" cy="261366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4">
                      <a:extLst>
                        <a:ext uri="{28A0092B-C50C-407E-A947-70E740481C1C}"/>
                      </a:extLst>
                    </a:blip>
                    <a:srcRect/>
                    <a:stretch>
                      <a:fillRect/>
                    </a:stretch>
                  </pic:blipFill>
                  <pic:spPr bwMode="auto">
                    <a:xfrm>
                      <a:off x="0" y="0"/>
                      <a:ext cx="7132955" cy="26136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835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12" w:name="page313"/>
    <w:bookmarkEnd w:id="312"/>
    <w:tbl>
      <w:tblPr>
        <w:tblLayout w:type="fixed"/>
        <w:tblInd w:w="10" w:type="dxa"/>
        <w:tblCellMar>
          <w:top w:w="0" w:type="dxa"/>
          <w:left w:w="0" w:type="dxa"/>
          <w:bottom w:w="0" w:type="dxa"/>
          <w:right w:w="0" w:type="dxa"/>
        </w:tblCellMar>
      </w:tblPr>
      <w:tr>
        <w:trPr>
          <w:trHeight w:val="240"/>
        </w:trPr>
        <w:tc>
          <w:tcPr>
            <w:tcW w:w="3000" w:type="dxa"/>
            <w:vAlign w:val="bottom"/>
            <w:tcBorders>
              <w:top w:val="single" w:sz="8" w:color="008EB0"/>
              <w:left w:val="single" w:sz="8" w:color="008EB0"/>
              <w:right w:val="single" w:sz="8" w:color="008EB0"/>
            </w:tcBorders>
          </w:tcPr>
          <w:p>
            <w:pPr>
              <w:spacing w:after="0"/>
              <w:rPr>
                <w:sz w:val="20"/>
                <w:szCs w:val="20"/>
                <w:color w:val="auto"/>
              </w:rPr>
            </w:pPr>
          </w:p>
        </w:tc>
        <w:tc>
          <w:tcPr>
            <w:tcW w:w="8240" w:type="dxa"/>
            <w:vAlign w:val="bottom"/>
            <w:tcBorders>
              <w:top w:val="single" w:sz="8" w:color="008EB0"/>
              <w:right w:val="single" w:sz="8" w:color="008EB0"/>
            </w:tcBorders>
          </w:tcPr>
          <w:p>
            <w:pPr>
              <w:ind w:left="1020"/>
              <w:spacing w:after="0"/>
              <w:rPr>
                <w:sz w:val="20"/>
                <w:szCs w:val="20"/>
                <w:color w:val="auto"/>
              </w:rPr>
            </w:pPr>
            <w:r>
              <w:rPr>
                <w:rFonts w:ascii="Arial" w:cs="Arial" w:eastAsia="Arial" w:hAnsi="Arial"/>
                <w:sz w:val="18"/>
                <w:szCs w:val="18"/>
                <w:color w:val="auto"/>
              </w:rPr>
              <w:t>equity-based awards that do not involve a market sale of Ascendis Pharma’s securities,</w:t>
            </w:r>
          </w:p>
        </w:tc>
      </w:tr>
      <w:tr>
        <w:trPr>
          <w:trHeight w:val="202"/>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360"/>
              <w:spacing w:after="0" w:line="201" w:lineRule="exact"/>
              <w:rPr>
                <w:sz w:val="20"/>
                <w:szCs w:val="20"/>
                <w:color w:val="auto"/>
              </w:rPr>
            </w:pPr>
            <w:r>
              <w:rPr>
                <w:rFonts w:ascii="Arial" w:cs="Arial" w:eastAsia="Arial" w:hAnsi="Arial"/>
                <w:sz w:val="18"/>
                <w:szCs w:val="18"/>
                <w:color w:val="auto"/>
              </w:rPr>
              <w:t>iii)  purchases of Ascendis Pharma’s securities from Ascendis Pharma or sales of Ascendis</w:t>
            </w:r>
          </w:p>
        </w:tc>
      </w:tr>
      <w:tr>
        <w:trPr>
          <w:trHeight w:val="202"/>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1020"/>
              <w:spacing w:after="0" w:line="201" w:lineRule="exact"/>
              <w:rPr>
                <w:sz w:val="20"/>
                <w:szCs w:val="20"/>
                <w:color w:val="auto"/>
              </w:rPr>
            </w:pPr>
            <w:r>
              <w:rPr>
                <w:rFonts w:ascii="Arial" w:cs="Arial" w:eastAsia="Arial" w:hAnsi="Arial"/>
                <w:sz w:val="18"/>
                <w:szCs w:val="18"/>
                <w:color w:val="auto"/>
              </w:rPr>
              <w:t>Pharma’s securities to Ascendis Pharma,</w:t>
            </w:r>
          </w:p>
        </w:tc>
      </w:tr>
      <w:tr>
        <w:trPr>
          <w:trHeight w:val="202"/>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360"/>
              <w:spacing w:after="0" w:line="201" w:lineRule="exact"/>
              <w:rPr>
                <w:sz w:val="20"/>
                <w:szCs w:val="20"/>
                <w:color w:val="auto"/>
              </w:rPr>
            </w:pPr>
            <w:r>
              <w:rPr>
                <w:rFonts w:ascii="Arial" w:cs="Arial" w:eastAsia="Arial" w:hAnsi="Arial"/>
                <w:sz w:val="18"/>
                <w:szCs w:val="18"/>
                <w:color w:val="auto"/>
              </w:rPr>
              <w:t>iv)   a plan adopted to comply with the Exchange Act Rule 10b5-1 (“</w:t>
            </w:r>
            <w:r>
              <w:rPr>
                <w:rFonts w:ascii="Arial" w:cs="Arial" w:eastAsia="Arial" w:hAnsi="Arial"/>
                <w:sz w:val="18"/>
                <w:szCs w:val="18"/>
                <w:b w:val="1"/>
                <w:bCs w:val="1"/>
                <w:color w:val="auto"/>
              </w:rPr>
              <w:t>Rule 10b5-1</w:t>
            </w:r>
            <w:r>
              <w:rPr>
                <w:rFonts w:ascii="Arial" w:cs="Arial" w:eastAsia="Arial" w:hAnsi="Arial"/>
                <w:sz w:val="18"/>
                <w:szCs w:val="18"/>
                <w:color w:val="auto"/>
              </w:rPr>
              <w:t>”), and</w:t>
            </w:r>
          </w:p>
        </w:tc>
      </w:tr>
      <w:tr>
        <w:trPr>
          <w:trHeight w:val="202"/>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360"/>
              <w:spacing w:after="0" w:line="201" w:lineRule="exact"/>
              <w:rPr>
                <w:sz w:val="20"/>
                <w:szCs w:val="20"/>
                <w:color w:val="auto"/>
              </w:rPr>
            </w:pPr>
            <w:r>
              <w:rPr>
                <w:rFonts w:ascii="Arial" w:cs="Arial" w:eastAsia="Arial" w:hAnsi="Arial"/>
                <w:sz w:val="18"/>
                <w:szCs w:val="18"/>
                <w:color w:val="auto"/>
              </w:rPr>
              <w:t>v)   Sell-to-cover-tax transactions that are enforced automatically upon vesting of equity awards,</w:t>
            </w:r>
          </w:p>
        </w:tc>
      </w:tr>
      <w:tr>
        <w:trPr>
          <w:trHeight w:val="202"/>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1020"/>
              <w:spacing w:after="0" w:line="201" w:lineRule="exact"/>
              <w:rPr>
                <w:sz w:val="20"/>
                <w:szCs w:val="20"/>
                <w:color w:val="auto"/>
              </w:rPr>
            </w:pPr>
            <w:r>
              <w:rPr>
                <w:rFonts w:ascii="Arial" w:cs="Arial" w:eastAsia="Arial" w:hAnsi="Arial"/>
                <w:sz w:val="18"/>
                <w:szCs w:val="18"/>
                <w:color w:val="auto"/>
              </w:rPr>
              <w:t>when this is governed by the relevant equity plan rules and necessary in order to comply</w:t>
            </w:r>
          </w:p>
        </w:tc>
      </w:tr>
      <w:tr>
        <w:trPr>
          <w:trHeight w:val="238"/>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1020"/>
              <w:spacing w:after="0"/>
              <w:rPr>
                <w:sz w:val="20"/>
                <w:szCs w:val="20"/>
                <w:color w:val="auto"/>
              </w:rPr>
            </w:pPr>
            <w:r>
              <w:rPr>
                <w:rFonts w:ascii="Arial" w:cs="Arial" w:eastAsia="Arial" w:hAnsi="Arial"/>
                <w:sz w:val="18"/>
                <w:szCs w:val="18"/>
                <w:color w:val="auto"/>
              </w:rPr>
              <w:t>with tax withholding requirements.</w:t>
            </w:r>
          </w:p>
        </w:tc>
      </w:tr>
      <w:tr>
        <w:trPr>
          <w:trHeight w:val="221"/>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20"/>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Insider:</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Ascendis Pharma Individuals and anyone else within Ascendis Pharma, or its subsidiaries, who has</w:t>
            </w:r>
          </w:p>
        </w:tc>
      </w:tr>
      <w:tr>
        <w:trPr>
          <w:trHeight w:val="238"/>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material, non-public information about Ascendis Pharma and its activities..</w:t>
            </w:r>
          </w:p>
        </w:tc>
      </w:tr>
      <w:tr>
        <w:trPr>
          <w:trHeight w:val="224"/>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17"/>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Insider Trading:</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Refers to the purchase or sale of a security by a person who is in possession of “material,” “non-</w:t>
            </w:r>
          </w:p>
        </w:tc>
      </w:tr>
      <w:tr>
        <w:trPr>
          <w:trHeight w:val="238"/>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public” information relating to the security, see further explanation in section 4</w:t>
            </w:r>
          </w:p>
        </w:tc>
      </w:tr>
      <w:tr>
        <w:trPr>
          <w:trHeight w:val="224"/>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53"/>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SEC:</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The U.S. Securities and Exchange Commission.</w:t>
            </w:r>
          </w:p>
        </w:tc>
      </w:tr>
      <w:tr>
        <w:trPr>
          <w:trHeight w:val="23"/>
        </w:trPr>
        <w:tc>
          <w:tcPr>
            <w:tcW w:w="300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240" w:type="dxa"/>
            <w:vAlign w:val="bottom"/>
            <w:tcBorders>
              <w:bottom w:val="single" w:sz="8" w:color="008EB0"/>
              <w:right w:val="single" w:sz="8" w:color="008EB0"/>
            </w:tcBorders>
          </w:tcPr>
          <w:p>
            <w:pPr>
              <w:spacing w:after="0" w:line="20" w:lineRule="exact"/>
              <w:rPr>
                <w:sz w:val="1"/>
                <w:szCs w:val="1"/>
                <w:color w:val="auto"/>
              </w:rPr>
            </w:pPr>
          </w:p>
        </w:tc>
      </w:tr>
      <w:tr>
        <w:trPr>
          <w:trHeight w:val="217"/>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Securities:</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Includes ordinary shares,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ordinary shares, stocks,</w:t>
            </w:r>
          </w:p>
        </w:tc>
      </w:tr>
      <w:tr>
        <w:trPr>
          <w:trHeight w:val="202"/>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bonds, notes, debentures, options, warrants, equity and other convertible securities, as well as</w:t>
            </w:r>
          </w:p>
        </w:tc>
      </w:tr>
      <w:tr>
        <w:trPr>
          <w:trHeight w:val="238"/>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derivative instruments.</w:t>
            </w:r>
          </w:p>
        </w:tc>
      </w:tr>
      <w:tr>
        <w:trPr>
          <w:trHeight w:val="224"/>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17"/>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Trading Plan</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transactions under a previously established contract, plan or instruction to trade in Ascendis Pharma’s</w:t>
            </w:r>
          </w:p>
        </w:tc>
      </w:tr>
      <w:tr>
        <w:trPr>
          <w:trHeight w:val="238"/>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Securities entered into in accordance with Rule 10b5-1</w:t>
            </w:r>
          </w:p>
        </w:tc>
      </w:tr>
      <w:tr>
        <w:trPr>
          <w:trHeight w:val="23"/>
        </w:trPr>
        <w:tc>
          <w:tcPr>
            <w:tcW w:w="300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240" w:type="dxa"/>
            <w:vAlign w:val="bottom"/>
            <w:tcBorders>
              <w:bottom w:val="single" w:sz="8" w:color="008EB0"/>
              <w:right w:val="single" w:sz="8" w:color="008EB0"/>
            </w:tcBorders>
          </w:tcPr>
          <w:p>
            <w:pPr>
              <w:spacing w:after="0" w:line="20" w:lineRule="exact"/>
              <w:rPr>
                <w:sz w:val="1"/>
                <w:szCs w:val="1"/>
                <w:color w:val="auto"/>
              </w:rPr>
            </w:pPr>
          </w:p>
        </w:tc>
      </w:tr>
    </w:tbl>
    <w:p>
      <w:pPr>
        <w:spacing w:after="0" w:line="391" w:lineRule="exact"/>
        <w:rPr>
          <w:sz w:val="20"/>
          <w:szCs w:val="20"/>
          <w:color w:val="auto"/>
        </w:rPr>
      </w:pPr>
    </w:p>
    <w:p>
      <w:pPr>
        <w:ind w:left="480" w:hanging="472"/>
        <w:spacing w:after="0"/>
        <w:tabs>
          <w:tab w:leader="none" w:pos="480" w:val="left"/>
        </w:tabs>
        <w:numPr>
          <w:ilvl w:val="0"/>
          <w:numId w:val="200"/>
        </w:numPr>
        <w:rPr>
          <w:rFonts w:ascii="Arial" w:cs="Arial" w:eastAsia="Arial" w:hAnsi="Arial"/>
          <w:sz w:val="22"/>
          <w:szCs w:val="22"/>
          <w:color w:val="008EB0"/>
        </w:rPr>
      </w:pPr>
      <w:r>
        <w:rPr>
          <w:rFonts w:ascii="Arial" w:cs="Arial" w:eastAsia="Arial" w:hAnsi="Arial"/>
          <w:sz w:val="22"/>
          <w:szCs w:val="22"/>
          <w:color w:val="008EB0"/>
        </w:rPr>
        <w:t>Applicability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 all Ascendis Pharma Individuals.</w:t>
      </w:r>
    </w:p>
    <w:p>
      <w:pPr>
        <w:spacing w:after="0" w:line="19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Ascendis Pharma Individuals are responsible for ensuring that members of their household also comply with this Policy. This includes family members residing with Ascendis Pharma Individuals, anyone else living in the same household as an Ascendis Pharma Individual, and any family members not living with Ascendis Pharma Individuals whose transactions in Ascendis Pharma’s securities are directed by Ascendis Pharma Individuals, or subject to their influence and control. This Policy also applies to any entities controlled by Ascendis Pharma Individuals, including any limited liability companies, corporations, partnerships, or trusts, and transactions by these entities should be treated for the purposes of this Policy and applicable securities laws as if they were for the account of an Ascendis Pharma Individual.</w:t>
      </w:r>
    </w:p>
    <w:p>
      <w:pPr>
        <w:spacing w:after="0" w:line="16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purposes of clarity, this Policy, including, without limitation, the preclearance policy, blackout periods and prohibited transactions, does not apply to venture capital entities or other institutional investors that may be affiliated with a board member of Ascendis Pharma or for Company equity securities that a board member may be deemed to have beneficial ownership of by virtue of such affiliation.</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835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313" w:name="page314"/>
    <w:bookmarkEnd w:id="313"/>
    <w:p>
      <w:pPr>
        <w:ind w:right="120"/>
        <w:spacing w:after="0" w:line="274" w:lineRule="auto"/>
        <w:rPr>
          <w:sz w:val="20"/>
          <w:szCs w:val="20"/>
          <w:color w:val="auto"/>
        </w:rPr>
      </w:pPr>
      <w:r>
        <w:rPr>
          <w:rFonts w:ascii="Arial" w:cs="Arial" w:eastAsia="Arial" w:hAnsi="Arial"/>
          <w:sz w:val="17"/>
          <w:szCs w:val="17"/>
          <w:color w:val="auto"/>
        </w:rPr>
        <w:t>For purposes of clarity, with the exception of the preclearance requirement, this Policy continues to apply to transactions in Ascendis Pharma’s securities even after termination of service to Ascendis Pharma. If you are in possession of material non-public information when your service terminates, you may not trade in Ascendis Pharma’s securities until that information has become public or is no longer material.</w:t>
      </w:r>
    </w:p>
    <w:p>
      <w:pPr>
        <w:spacing w:after="0" w:line="143" w:lineRule="exact"/>
        <w:rPr>
          <w:sz w:val="20"/>
          <w:szCs w:val="20"/>
          <w:color w:val="auto"/>
        </w:rPr>
      </w:pPr>
    </w:p>
    <w:p>
      <w:pPr>
        <w:ind w:left="480" w:hanging="472"/>
        <w:spacing w:after="0"/>
        <w:tabs>
          <w:tab w:leader="none" w:pos="480" w:val="left"/>
        </w:tabs>
        <w:numPr>
          <w:ilvl w:val="0"/>
          <w:numId w:val="201"/>
        </w:numPr>
        <w:rPr>
          <w:rFonts w:ascii="Arial" w:cs="Arial" w:eastAsia="Arial" w:hAnsi="Arial"/>
          <w:sz w:val="22"/>
          <w:szCs w:val="22"/>
          <w:color w:val="008EB0"/>
        </w:rPr>
      </w:pPr>
      <w:r>
        <w:rPr>
          <w:rFonts w:ascii="Arial" w:cs="Arial" w:eastAsia="Arial" w:hAnsi="Arial"/>
          <w:sz w:val="22"/>
          <w:szCs w:val="22"/>
          <w:color w:val="008EB0"/>
        </w:rPr>
        <w:t>Explanation of “Insider Trading”</w:t>
      </w:r>
    </w:p>
    <w:p>
      <w:pPr>
        <w:spacing w:after="0" w:line="34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4.1</w:t>
      </w:r>
      <w:r>
        <w:rPr>
          <w:sz w:val="20"/>
          <w:szCs w:val="20"/>
          <w:color w:val="auto"/>
        </w:rPr>
        <w:tab/>
      </w:r>
      <w:r>
        <w:rPr>
          <w:rFonts w:ascii="Arial" w:cs="Arial" w:eastAsia="Arial" w:hAnsi="Arial"/>
          <w:sz w:val="19"/>
          <w:szCs w:val="19"/>
          <w:color w:val="008EB0"/>
        </w:rPr>
        <w:t>What is Insider Trading?</w:t>
      </w:r>
    </w:p>
    <w:p>
      <w:pPr>
        <w:spacing w:after="0" w:line="96"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“Insider Trading” refers to the purchase or sale of a Security by a person while in possession of “material,” “non-public” information relating to that security. Insider trading is illegal and governed by US securities laws</w:t>
      </w:r>
    </w:p>
    <w:p>
      <w:pPr>
        <w:spacing w:after="0" w:line="14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“Purchase” and “sale” are defined broadly under applicable US securities laws.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cash-for-share transactions, conversions, the exercise of warrants, transfers, gifts and acquisitions and exercises of options or puts, calls or other derivative securities.</w:t>
      </w:r>
    </w:p>
    <w:p>
      <w:pPr>
        <w:spacing w:after="0" w:line="163"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The laws and regulations concerning insider trading are complex, and Ascendis Pharma Individuals are encouraged to seek guidance from the Chief Legal Officer prior to considering a transaction in Company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 is generally understood that Insider Trading includes the following:</w:t>
      </w:r>
    </w:p>
    <w:p>
      <w:pPr>
        <w:spacing w:after="0" w:line="8" w:lineRule="exact"/>
        <w:rPr>
          <w:sz w:val="20"/>
          <w:szCs w:val="20"/>
          <w:color w:val="auto"/>
        </w:rPr>
      </w:pPr>
    </w:p>
    <w:p>
      <w:pPr>
        <w:ind w:left="800" w:hanging="405"/>
        <w:spacing w:after="0"/>
        <w:tabs>
          <w:tab w:leader="none" w:pos="8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trading by Insiders while in possession of material, non-public information;</w:t>
      </w:r>
    </w:p>
    <w:p>
      <w:pPr>
        <w:ind w:left="760" w:right="120" w:hanging="365"/>
        <w:spacing w:after="0" w:line="233" w:lineRule="auto"/>
        <w:tabs>
          <w:tab w:leader="none" w:pos="79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trading by persons other than Insiders while in possession of material, non-public information, if the information either was given in breach of an Insider’s duty to keep it confidential or was misappropriated; and</w:t>
      </w:r>
    </w:p>
    <w:p>
      <w:pPr>
        <w:spacing w:after="0" w:line="1" w:lineRule="exact"/>
        <w:rPr>
          <w:rFonts w:ascii="Arial" w:cs="Arial" w:eastAsia="Arial" w:hAnsi="Arial"/>
          <w:sz w:val="18"/>
          <w:szCs w:val="18"/>
          <w:color w:val="auto"/>
        </w:rPr>
      </w:pPr>
    </w:p>
    <w:p>
      <w:pPr>
        <w:ind w:left="760" w:right="400" w:hanging="365"/>
        <w:spacing w:after="0" w:line="249" w:lineRule="auto"/>
        <w:tabs>
          <w:tab w:leader="none" w:pos="79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communicating or tipping material, non-public information to others, including recommending the purchase or sale of a security while in possession of such information.</w:t>
      </w:r>
    </w:p>
    <w:p>
      <w:pPr>
        <w:spacing w:after="0" w:line="18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4.2</w:t>
      </w:r>
      <w:r>
        <w:rPr>
          <w:sz w:val="20"/>
          <w:szCs w:val="20"/>
          <w:color w:val="auto"/>
        </w:rPr>
        <w:tab/>
      </w:r>
      <w:r>
        <w:rPr>
          <w:rFonts w:ascii="Arial" w:cs="Arial" w:eastAsia="Arial" w:hAnsi="Arial"/>
          <w:sz w:val="19"/>
          <w:szCs w:val="19"/>
          <w:color w:val="008EB0"/>
        </w:rPr>
        <w:t>What information is “material”?</w:t>
      </w:r>
    </w:p>
    <w:p>
      <w:pPr>
        <w:spacing w:after="0" w:line="96"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Information is considered “material” if there is a substantial likelihood that a reasonable investor would consider it important in making a decision to buy, sell or hold a security, or if the information is likely to have a significant effect on the market price of the security.</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Material information can be positive or negative and can relate to virtually any aspect of a company’s business or to any type of security, debt or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Also, information that something is likely to happen in the future—or even just that it may happen—could be deemed 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Examples of material information include (but are not limited to) information about:</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results of clinical trials;</w:t>
      </w:r>
    </w:p>
    <w:p>
      <w:pPr>
        <w:spacing w:after="0" w:line="8" w:lineRule="exact"/>
        <w:rPr>
          <w:sz w:val="20"/>
          <w:szCs w:val="20"/>
          <w:color w:val="auto"/>
        </w:rPr>
      </w:pPr>
    </w:p>
    <w:p>
      <w:pPr>
        <w:ind w:left="760" w:right="160" w:hanging="3"/>
        <w:spacing w:after="0" w:line="241" w:lineRule="auto"/>
        <w:rPr>
          <w:sz w:val="20"/>
          <w:szCs w:val="20"/>
          <w:color w:val="auto"/>
        </w:rPr>
      </w:pPr>
      <w:r>
        <w:rPr>
          <w:rFonts w:ascii="Arial" w:cs="Arial" w:eastAsia="Arial" w:hAnsi="Arial"/>
          <w:sz w:val="18"/>
          <w:szCs w:val="18"/>
          <w:color w:val="auto"/>
        </w:rPr>
        <w:t>communications sent to, or received from, the European Medicines Agency or the U.S. Food and Drug Administration,or any other marketing authorization government body;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dividends;</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corporate earnings or earnings forecasts;</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mergers, acquisitions, tender offers or dispositions;</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835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14" w:name="page315"/>
    <w:bookmarkEnd w:id="314"/>
    <w:p>
      <w:pPr>
        <w:ind w:left="400"/>
        <w:spacing w:after="0"/>
        <w:rPr>
          <w:sz w:val="20"/>
          <w:szCs w:val="20"/>
          <w:color w:val="auto"/>
        </w:rPr>
      </w:pPr>
      <w:r>
        <w:rPr>
          <w:rFonts w:ascii="Arial" w:cs="Arial" w:eastAsia="Arial" w:hAnsi="Arial"/>
          <w:sz w:val="18"/>
          <w:szCs w:val="18"/>
          <w:color w:val="auto"/>
        </w:rPr>
        <w:t>major new products or product developments;</w:t>
      </w:r>
    </w:p>
    <w:p>
      <w:pPr>
        <w:spacing w:after="0" w:line="26" w:lineRule="exact"/>
        <w:rPr>
          <w:sz w:val="20"/>
          <w:szCs w:val="20"/>
          <w:color w:val="auto"/>
        </w:rPr>
      </w:pPr>
    </w:p>
    <w:p>
      <w:pPr>
        <w:jc w:val="both"/>
        <w:ind w:left="760" w:right="3900"/>
        <w:spacing w:after="0" w:line="249" w:lineRule="auto"/>
        <w:rPr>
          <w:sz w:val="20"/>
          <w:szCs w:val="20"/>
          <w:color w:val="auto"/>
        </w:rPr>
      </w:pPr>
      <w:r>
        <w:rPr>
          <w:rFonts w:ascii="Arial" w:cs="Arial" w:eastAsia="Arial" w:hAnsi="Arial"/>
          <w:sz w:val="18"/>
          <w:szCs w:val="18"/>
          <w:color w:val="auto"/>
        </w:rPr>
        <w:t>important business developments such as major contract awards or cancellations; developments regarding strategic collaborators, including VISEN Pharmaceuticals; the status of regulatory submissions;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management or control changes;</w:t>
      </w:r>
    </w:p>
    <w:p>
      <w:pPr>
        <w:spacing w:after="0" w:line="8" w:lineRule="exact"/>
        <w:rPr>
          <w:sz w:val="20"/>
          <w:szCs w:val="20"/>
          <w:color w:val="auto"/>
        </w:rPr>
      </w:pPr>
    </w:p>
    <w:p>
      <w:pPr>
        <w:ind w:left="760" w:right="1100"/>
        <w:spacing w:after="0" w:line="249" w:lineRule="auto"/>
        <w:rPr>
          <w:sz w:val="20"/>
          <w:szCs w:val="20"/>
          <w:color w:val="auto"/>
        </w:rPr>
      </w:pPr>
      <w:r>
        <w:rPr>
          <w:rFonts w:ascii="Arial" w:cs="Arial" w:eastAsia="Arial" w:hAnsi="Arial"/>
          <w:sz w:val="18"/>
          <w:szCs w:val="18"/>
          <w:color w:val="auto"/>
        </w:rPr>
        <w:t>significant borrowing or financing developments including pending public sales or offerings of debt or equity securities; defaults on borrowings;</w:t>
      </w:r>
    </w:p>
    <w:p>
      <w:pPr>
        <w:ind w:left="400"/>
        <w:spacing w:after="0"/>
        <w:rPr>
          <w:sz w:val="20"/>
          <w:szCs w:val="20"/>
          <w:color w:val="auto"/>
        </w:rPr>
      </w:pPr>
      <w:r>
        <w:rPr>
          <w:rFonts w:ascii="Arial" w:cs="Arial" w:eastAsia="Arial" w:hAnsi="Arial"/>
          <w:sz w:val="18"/>
          <w:szCs w:val="18"/>
          <w:color w:val="auto"/>
        </w:rPr>
        <w:t>bankruptcies;</w:t>
      </w:r>
    </w:p>
    <w:p>
      <w:pPr>
        <w:spacing w:after="0" w:line="8" w:lineRule="exact"/>
        <w:rPr>
          <w:sz w:val="20"/>
          <w:szCs w:val="20"/>
          <w:color w:val="auto"/>
        </w:rPr>
      </w:pPr>
    </w:p>
    <w:p>
      <w:pPr>
        <w:ind w:left="760" w:right="6960"/>
        <w:spacing w:after="0" w:line="294" w:lineRule="auto"/>
        <w:rPr>
          <w:sz w:val="20"/>
          <w:szCs w:val="20"/>
          <w:color w:val="auto"/>
        </w:rPr>
      </w:pPr>
      <w:r>
        <w:rPr>
          <w:rFonts w:ascii="Arial" w:cs="Arial" w:eastAsia="Arial" w:hAnsi="Arial"/>
          <w:sz w:val="17"/>
          <w:szCs w:val="17"/>
          <w:color w:val="auto"/>
        </w:rPr>
        <w:t>cybersecurity or data security incidents; and significant litigation or regulatory actions.</w:t>
      </w:r>
    </w:p>
    <w:p>
      <w:pPr>
        <w:spacing w:after="0" w:line="13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Moreover, material information does not have to be related to a company’s business. For example, the contents of a forthcoming newspaper column that is expected to affect the market price of a security can be material.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Questions regarding material information should be directed to Ascendis Pharma’s Chief Legal Officer.</w:t>
      </w:r>
    </w:p>
    <w:p>
      <w:pPr>
        <w:spacing w:after="0" w:line="197"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color w:val="auto"/>
        </w:rPr>
        <w:t>In all cases, individuals subject to this Policy bear full responsibility for ensuring their compliance with this Policy, and also for ensuring that members of their household (and individuals not residing in their household but whose transactions are subject to their influence or control) and entities under their influence or control are in compliance with this Policy.</w:t>
      </w:r>
    </w:p>
    <w:p>
      <w:pPr>
        <w:spacing w:after="0" w:line="19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4.3</w:t>
      </w:r>
      <w:r>
        <w:rPr>
          <w:sz w:val="20"/>
          <w:szCs w:val="20"/>
          <w:color w:val="auto"/>
        </w:rPr>
        <w:tab/>
      </w:r>
      <w:r>
        <w:rPr>
          <w:rFonts w:ascii="Arial" w:cs="Arial" w:eastAsia="Arial" w:hAnsi="Arial"/>
          <w:sz w:val="19"/>
          <w:szCs w:val="19"/>
          <w:color w:val="008EB0"/>
        </w:rPr>
        <w:t>What is “non-public” information?</w:t>
      </w:r>
    </w:p>
    <w:p>
      <w:pPr>
        <w:spacing w:after="0" w:line="9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Information is “non-public” if it is not available to the general public. In order for information to be considered public, it must be widely disseminated in a manner making it generally available to investors in a Regulation FD(fair disclosure)-compliant method, such as through a press release, a filing with the SEC or a Regulation FD-compliant conference call. The Chief Legal Officer shall have sole discretion to decide whether information is public for purposes of this Policy.</w:t>
      </w:r>
    </w:p>
    <w:p>
      <w:pPr>
        <w:spacing w:after="0" w:line="1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circulation of rumors, even if accurate and reported in the media, does not constitute effective public dissemination. In addition, even after a public announcement, a reasonable period of time may need to lapse in order for the market to react to the information. Generally, one should allow one full trading day following release of the information to the public as a reasonable waiting period before such information is deemed to be public.</w:t>
      </w:r>
    </w:p>
    <w:p>
      <w:pPr>
        <w:spacing w:after="0" w:line="18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4.4</w:t>
      </w:r>
      <w:r>
        <w:rPr>
          <w:sz w:val="20"/>
          <w:szCs w:val="20"/>
          <w:color w:val="auto"/>
        </w:rPr>
        <w:tab/>
      </w:r>
      <w:r>
        <w:rPr>
          <w:rFonts w:ascii="Arial" w:cs="Arial" w:eastAsia="Arial" w:hAnsi="Arial"/>
          <w:sz w:val="19"/>
          <w:szCs w:val="19"/>
          <w:color w:val="008EB0"/>
        </w:rPr>
        <w:t>Who is an Insider?</w:t>
      </w:r>
    </w:p>
    <w:p>
      <w:pPr>
        <w:spacing w:after="0" w:line="96"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Insiders include Ascendis Pharma Individuals and anyone else within Ascendis Pharma who has material, non-public information about a company.</w:t>
      </w:r>
    </w:p>
    <w:p>
      <w:pPr>
        <w:spacing w:after="0" w:line="145" w:lineRule="exact"/>
        <w:rPr>
          <w:sz w:val="20"/>
          <w:szCs w:val="20"/>
          <w:color w:val="auto"/>
        </w:rPr>
      </w:pPr>
    </w:p>
    <w:p>
      <w:pPr>
        <w:ind w:left="480" w:hanging="472"/>
        <w:spacing w:after="0"/>
        <w:tabs>
          <w:tab w:leader="none" w:pos="480" w:val="left"/>
        </w:tabs>
        <w:numPr>
          <w:ilvl w:val="0"/>
          <w:numId w:val="205"/>
        </w:numPr>
        <w:rPr>
          <w:rFonts w:ascii="Arial" w:cs="Arial" w:eastAsia="Arial" w:hAnsi="Arial"/>
          <w:sz w:val="22"/>
          <w:szCs w:val="22"/>
          <w:color w:val="008EB0"/>
        </w:rPr>
      </w:pPr>
      <w:r>
        <w:rPr>
          <w:rFonts w:ascii="Arial" w:cs="Arial" w:eastAsia="Arial" w:hAnsi="Arial"/>
          <w:sz w:val="22"/>
          <w:szCs w:val="22"/>
          <w:color w:val="008EB0"/>
        </w:rPr>
        <w:t>Procedures</w:t>
      </w:r>
    </w:p>
    <w:p>
      <w:pPr>
        <w:spacing w:after="0" w:line="10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5.1</w:t>
      </w:r>
      <w:r>
        <w:rPr>
          <w:sz w:val="20"/>
          <w:szCs w:val="20"/>
          <w:color w:val="auto"/>
        </w:rPr>
        <w:tab/>
      </w:r>
      <w:r>
        <w:rPr>
          <w:rFonts w:ascii="Arial" w:cs="Arial" w:eastAsia="Arial" w:hAnsi="Arial"/>
          <w:sz w:val="19"/>
          <w:szCs w:val="19"/>
          <w:color w:val="008EB0"/>
        </w:rPr>
        <w:t>Supporting requirements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To minimize the risk of Insider Trading, Ascendis Pharma has put in place below requirements relating to:</w:t>
      </w:r>
    </w:p>
    <w:p>
      <w:pPr>
        <w:spacing w:after="0" w:line="197" w:lineRule="exact"/>
        <w:rPr>
          <w:sz w:val="20"/>
          <w:szCs w:val="20"/>
          <w:color w:val="auto"/>
        </w:rPr>
      </w:pPr>
    </w:p>
    <w:p>
      <w:pPr>
        <w:ind w:left="760" w:right="7460"/>
        <w:spacing w:after="0" w:line="275" w:lineRule="auto"/>
        <w:rPr>
          <w:sz w:val="20"/>
          <w:szCs w:val="20"/>
          <w:color w:val="auto"/>
        </w:rPr>
      </w:pPr>
      <w:r>
        <w:rPr>
          <w:rFonts w:ascii="Arial" w:cs="Arial" w:eastAsia="Arial" w:hAnsi="Arial"/>
          <w:sz w:val="17"/>
          <w:szCs w:val="17"/>
          <w:color w:val="auto"/>
        </w:rPr>
        <w:t>Periodic Trading Windows (see 5.1.1) Event-specific Blackouts (see 5.2)</w:t>
      </w:r>
    </w:p>
    <w:p>
      <w:pPr>
        <w:ind w:left="380" w:right="7020" w:firstLine="368"/>
        <w:spacing w:after="0" w:line="244" w:lineRule="auto"/>
        <w:rPr>
          <w:sz w:val="20"/>
          <w:szCs w:val="20"/>
          <w:color w:val="auto"/>
        </w:rPr>
      </w:pPr>
      <w:r>
        <w:rPr>
          <w:rFonts w:ascii="Arial" w:cs="Arial" w:eastAsia="Arial" w:hAnsi="Arial"/>
          <w:sz w:val="18"/>
          <w:szCs w:val="18"/>
          <w:color w:val="auto"/>
        </w:rPr>
        <w:t xml:space="preserve">Specific personal pre-clearance (see 5.2.2) </w:t>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835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315" w:name="page316"/>
    <w:bookmarkEnd w:id="315"/>
    <w:p>
      <w:pPr>
        <w:ind w:left="400"/>
        <w:spacing w:after="0"/>
        <w:rPr>
          <w:sz w:val="20"/>
          <w:szCs w:val="20"/>
          <w:color w:val="auto"/>
        </w:rPr>
      </w:pPr>
      <w:r>
        <w:rPr>
          <w:rFonts w:ascii="Arial" w:cs="Arial" w:eastAsia="Arial" w:hAnsi="Arial"/>
          <w:sz w:val="18"/>
          <w:szCs w:val="18"/>
          <w:color w:val="auto"/>
        </w:rPr>
        <w:t>General handling of material non-public information (see 5.2.3)</w:t>
      </w:r>
    </w:p>
    <w:p>
      <w:pPr>
        <w:spacing w:after="0" w:line="21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prohibition against Insider Trading and the further instructions contained in sections 5.1.1 - 5.2.2 may be summarized and illustrated in the decision tree shown on the following page (Illustration 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Is a trading window currently open?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Is a trading window currently open?</w:t>
      </w:r>
    </w:p>
    <w:p>
      <w:pPr>
        <w:jc w:val="center"/>
        <w:ind w:right="-259"/>
        <w:spacing w:after="0" w:line="233" w:lineRule="auto"/>
        <w:rPr>
          <w:sz w:val="20"/>
          <w:szCs w:val="20"/>
          <w:color w:val="auto"/>
        </w:rPr>
      </w:pPr>
      <w:r>
        <w:rPr>
          <w:rFonts w:ascii="Arial" w:cs="Arial" w:eastAsia="Arial" w:hAnsi="Arial"/>
          <w:sz w:val="18"/>
          <w:szCs w:val="18"/>
          <w:color w:val="FFFFFF"/>
        </w:rPr>
        <w:t>Am I allowed to trade?</w:t>
      </w:r>
    </w:p>
    <w:p>
      <w:pPr>
        <w:jc w:val="center"/>
        <w:ind w:right="-259"/>
        <w:spacing w:after="0" w:line="234" w:lineRule="auto"/>
        <w:rPr>
          <w:sz w:val="20"/>
          <w:szCs w:val="20"/>
          <w:color w:val="auto"/>
        </w:rPr>
      </w:pPr>
      <w:r>
        <w:rPr>
          <w:rFonts w:ascii="Arial" w:cs="Arial" w:eastAsia="Arial" w:hAnsi="Arial"/>
          <w:sz w:val="18"/>
          <w:szCs w:val="18"/>
          <w:color w:val="FFFFFF"/>
        </w:rPr>
        <w:t>You may not trade</w:t>
      </w:r>
    </w:p>
    <w:p>
      <w:pPr>
        <w:ind w:left="2520"/>
        <w:spacing w:after="0" w:line="234" w:lineRule="auto"/>
        <w:rPr>
          <w:sz w:val="20"/>
          <w:szCs w:val="20"/>
          <w:color w:val="auto"/>
        </w:rPr>
      </w:pPr>
      <w:r>
        <w:rPr>
          <w:rFonts w:ascii="Arial" w:cs="Arial" w:eastAsia="Arial" w:hAnsi="Arial"/>
          <w:sz w:val="18"/>
          <w:szCs w:val="18"/>
          <w:color w:val="auto"/>
        </w:rPr>
        <w:t>Do I currently have access to material non-public information about Ascendis?</w:t>
      </w:r>
    </w:p>
    <w:p>
      <w:pPr>
        <w:ind w:left="2660"/>
        <w:spacing w:after="0" w:line="234" w:lineRule="auto"/>
        <w:rPr>
          <w:sz w:val="20"/>
          <w:szCs w:val="20"/>
          <w:color w:val="auto"/>
        </w:rPr>
      </w:pPr>
      <w:r>
        <w:rPr>
          <w:rFonts w:ascii="Arial" w:cs="Arial" w:eastAsia="Arial" w:hAnsi="Arial"/>
          <w:sz w:val="18"/>
          <w:szCs w:val="18"/>
          <w:color w:val="auto"/>
        </w:rPr>
        <w:t>Am I subject to an event-specific insider list or a company-wide black-out?</w:t>
      </w:r>
    </w:p>
    <w:p>
      <w:pPr>
        <w:jc w:val="center"/>
        <w:ind w:right="-259"/>
        <w:spacing w:after="0" w:line="234" w:lineRule="auto"/>
        <w:rPr>
          <w:sz w:val="20"/>
          <w:szCs w:val="20"/>
          <w:color w:val="auto"/>
        </w:rPr>
      </w:pPr>
      <w:r>
        <w:rPr>
          <w:rFonts w:ascii="Arial" w:cs="Arial" w:eastAsia="Arial" w:hAnsi="Arial"/>
          <w:sz w:val="18"/>
          <w:szCs w:val="18"/>
          <w:color w:val="auto"/>
        </w:rPr>
        <w:t>Have I received a personal pre-clearance from the Chief Legal Officer or a person authorized by the Chief Legal Officer?</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FFFF"/>
        </w:rPr>
        <w:t>You are allowed to trade</w:t>
      </w:r>
    </w:p>
    <w:p>
      <w:pPr>
        <w:ind w:left="5480"/>
        <w:spacing w:after="0"/>
        <w:rPr>
          <w:sz w:val="20"/>
          <w:szCs w:val="20"/>
          <w:color w:val="auto"/>
        </w:rPr>
      </w:pPr>
      <w:r>
        <w:rPr>
          <w:rFonts w:ascii="Arial" w:cs="Arial" w:eastAsia="Arial" w:hAnsi="Arial"/>
          <w:sz w:val="14"/>
          <w:szCs w:val="14"/>
          <w:color w:val="auto"/>
        </w:rPr>
        <w:t>YES</w:t>
      </w:r>
    </w:p>
    <w:p>
      <w:pPr>
        <w:ind w:left="5520"/>
        <w:spacing w:after="0" w:line="232" w:lineRule="auto"/>
        <w:rPr>
          <w:sz w:val="20"/>
          <w:szCs w:val="20"/>
          <w:color w:val="auto"/>
        </w:rPr>
      </w:pPr>
      <w:r>
        <w:rPr>
          <w:rFonts w:ascii="Arial" w:cs="Arial" w:eastAsia="Arial" w:hAnsi="Arial"/>
          <w:sz w:val="14"/>
          <w:szCs w:val="14"/>
          <w:color w:val="auto"/>
        </w:rPr>
        <w:t>NO</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FFFF"/>
        </w:rPr>
        <w:t>You may not trade</w:t>
      </w:r>
    </w:p>
    <w:p>
      <w:pPr>
        <w:ind w:left="5480"/>
        <w:spacing w:after="0"/>
        <w:rPr>
          <w:sz w:val="20"/>
          <w:szCs w:val="20"/>
          <w:color w:val="auto"/>
        </w:rPr>
      </w:pPr>
      <w:r>
        <w:rPr>
          <w:rFonts w:ascii="Arial" w:cs="Arial" w:eastAsia="Arial" w:hAnsi="Arial"/>
          <w:sz w:val="14"/>
          <w:szCs w:val="14"/>
          <w:color w:val="auto"/>
        </w:rPr>
        <w:t>YES</w:t>
      </w:r>
    </w:p>
    <w:p>
      <w:pPr>
        <w:ind w:left="5520"/>
        <w:spacing w:after="0" w:line="232" w:lineRule="auto"/>
        <w:rPr>
          <w:sz w:val="20"/>
          <w:szCs w:val="20"/>
          <w:color w:val="auto"/>
        </w:rPr>
      </w:pPr>
      <w:r>
        <w:rPr>
          <w:rFonts w:ascii="Arial" w:cs="Arial" w:eastAsia="Arial" w:hAnsi="Arial"/>
          <w:sz w:val="14"/>
          <w:szCs w:val="14"/>
          <w:color w:val="auto"/>
        </w:rPr>
        <w:t>NO</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FFFF"/>
        </w:rPr>
        <w:t>You may not trade</w:t>
      </w:r>
    </w:p>
    <w:p>
      <w:pPr>
        <w:ind w:left="5480"/>
        <w:spacing w:after="0"/>
        <w:rPr>
          <w:sz w:val="20"/>
          <w:szCs w:val="20"/>
          <w:color w:val="auto"/>
        </w:rPr>
      </w:pPr>
      <w:r>
        <w:rPr>
          <w:rFonts w:ascii="Arial" w:cs="Arial" w:eastAsia="Arial" w:hAnsi="Arial"/>
          <w:sz w:val="14"/>
          <w:szCs w:val="14"/>
          <w:color w:val="auto"/>
        </w:rPr>
        <w:t>YES</w:t>
      </w:r>
    </w:p>
    <w:p>
      <w:pPr>
        <w:ind w:left="5520"/>
        <w:spacing w:after="0" w:line="232" w:lineRule="auto"/>
        <w:rPr>
          <w:sz w:val="20"/>
          <w:szCs w:val="20"/>
          <w:color w:val="auto"/>
        </w:rPr>
      </w:pPr>
      <w:r>
        <w:rPr>
          <w:rFonts w:ascii="Arial" w:cs="Arial" w:eastAsia="Arial" w:hAnsi="Arial"/>
          <w:sz w:val="14"/>
          <w:szCs w:val="14"/>
          <w:color w:val="auto"/>
        </w:rPr>
        <w:t>NO</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FFFF"/>
        </w:rPr>
        <w:t>You may not trade</w:t>
      </w:r>
    </w:p>
    <w:p>
      <w:pPr>
        <w:ind w:left="5520"/>
        <w:spacing w:after="0"/>
        <w:rPr>
          <w:sz w:val="20"/>
          <w:szCs w:val="20"/>
          <w:color w:val="auto"/>
        </w:rPr>
      </w:pPr>
      <w:r>
        <w:rPr>
          <w:rFonts w:ascii="Arial" w:cs="Arial" w:eastAsia="Arial" w:hAnsi="Arial"/>
          <w:sz w:val="14"/>
          <w:szCs w:val="14"/>
          <w:color w:val="auto"/>
        </w:rPr>
        <w:t>NO</w:t>
      </w:r>
    </w:p>
    <w:p>
      <w:pPr>
        <w:ind w:left="5480"/>
        <w:spacing w:after="0"/>
        <w:rPr>
          <w:sz w:val="20"/>
          <w:szCs w:val="20"/>
          <w:color w:val="auto"/>
        </w:rPr>
      </w:pPr>
      <w:r>
        <w:rPr>
          <w:rFonts w:ascii="Arial" w:cs="Arial" w:eastAsia="Arial" w:hAnsi="Arial"/>
          <w:sz w:val="14"/>
          <w:szCs w:val="14"/>
          <w:color w:val="auto"/>
        </w:rPr>
        <w:t>YES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8355"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320" w:top="322" w:right="59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color w:val="auto"/>
        </w:rPr>
        <w:t>Review of this chart is not a substitute for reading and understanding this Policy.</w:t>
      </w: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5.1.1</w:t>
      </w:r>
      <w:r>
        <w:rPr>
          <w:sz w:val="20"/>
          <w:szCs w:val="20"/>
          <w:color w:val="auto"/>
        </w:rPr>
        <w:tab/>
      </w:r>
      <w:r>
        <w:rPr>
          <w:rFonts w:ascii="Arial" w:cs="Arial" w:eastAsia="Arial" w:hAnsi="Arial"/>
          <w:sz w:val="17"/>
          <w:szCs w:val="17"/>
          <w:color w:val="008EB0"/>
        </w:rPr>
        <w:t>Periodic Trading Windows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Ascendis Pharma Individuals may only trade during open Periodic Trading Windows. Periodic Trading Windows open on the date falling one</w:t>
      </w:r>
    </w:p>
    <w:p>
      <w:pPr>
        <w:spacing w:after="0" w:line="13" w:lineRule="exact"/>
        <w:rPr>
          <w:sz w:val="20"/>
          <w:szCs w:val="20"/>
          <w:color w:val="auto"/>
        </w:rPr>
      </w:pPr>
    </w:p>
    <w:p>
      <w:pPr>
        <w:ind w:firstLine="8"/>
        <w:spacing w:after="0" w:line="237" w:lineRule="auto"/>
        <w:tabs>
          <w:tab w:leader="none" w:pos="2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full trading day after the public release of earnings data for any financial quarter and close on the date falling twenty-one (21) calendar days prior to the last date of each financial quarter (each, a “</w:t>
      </w:r>
      <w:r>
        <w:rPr>
          <w:rFonts w:ascii="Arial" w:cs="Arial" w:eastAsia="Arial" w:hAnsi="Arial"/>
          <w:sz w:val="18"/>
          <w:szCs w:val="18"/>
          <w:b w:val="1"/>
          <w:bCs w:val="1"/>
          <w:color w:val="auto"/>
        </w:rPr>
        <w:t>Periodic Trading Window</w:t>
      </w:r>
      <w:r>
        <w:rPr>
          <w:rFonts w:ascii="Arial" w:cs="Arial" w:eastAsia="Arial" w:hAnsi="Arial"/>
          <w:sz w:val="18"/>
          <w:szCs w:val="18"/>
          <w:color w:val="auto"/>
        </w:rPr>
        <w:t>”). For purposes of the foregoing sentence, a “</w:t>
      </w:r>
      <w:r>
        <w:rPr>
          <w:rFonts w:ascii="Arial" w:cs="Arial" w:eastAsia="Arial" w:hAnsi="Arial"/>
          <w:sz w:val="18"/>
          <w:szCs w:val="18"/>
          <w:b w:val="1"/>
          <w:bCs w:val="1"/>
          <w:color w:val="auto"/>
        </w:rPr>
        <w:t>trading</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is a day on which U.S. national stock exchanges are open for trading. If, for example, Ascendis Pharma were to make an announcement</w:t>
      </w:r>
      <w:r>
        <w:rPr>
          <w:rFonts w:ascii="Arial" w:cs="Arial" w:eastAsia="Arial" w:hAnsi="Arial"/>
          <w:sz w:val="18"/>
          <w:szCs w:val="18"/>
          <w:b w:val="1"/>
          <w:bCs w:val="1"/>
          <w:color w:val="auto"/>
        </w:rPr>
        <w:t xml:space="preserve"> </w:t>
      </w:r>
      <w:r>
        <w:rPr>
          <w:rFonts w:ascii="Arial" w:cs="Arial" w:eastAsia="Arial" w:hAnsi="Arial"/>
          <w:sz w:val="18"/>
          <w:szCs w:val="18"/>
          <w:color w:val="auto"/>
        </w:rPr>
        <w:t>on Monday prior to 9:30 a.m. Eastern Time, then the Periodic Trading Window would open after the close of trading on Tuesday. If an announcement were made on Monday after 9:30 a.m. Eastern Time, then the Periodic Trading Window would open after the close of trading on Wednesday.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Periodic Trading Windows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749800" cy="19900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0">
                      <a:extLst>
                        <a:ext uri="{28A0092B-C50C-407E-A947-70E740481C1C}"/>
                      </a:extLst>
                    </a:blip>
                    <a:srcRect/>
                    <a:stretch>
                      <a:fillRect/>
                    </a:stretch>
                  </pic:blipFill>
                  <pic:spPr bwMode="auto">
                    <a:xfrm>
                      <a:off x="0" y="0"/>
                      <a:ext cx="4749800" cy="199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color w:val="auto"/>
        </w:rPr>
        <w:t>In other words: No Ascendis Pharma Individual nor any family members residing with Ascendis Pharma Individuals, anyone else living in the same household as an Ascendis Pharma Individual, nor any family members not living with Ascendis Pharma Individuals whose transactions in Ascendis Pharma’s securities are directed by Ascendis Pharma Individuals, or subject to their influence and control, shall purchase or sell any security of Ascendis Pharma outside of open Periodic Trading Windows. Exceptions to Periodic Trading Windows may be approved only by Ascendis Pharma’s Chief Legal Officer or, in the case of exceptions for the Chief Legal Officer, the Chief Financial Officer or, in the case of exceptions for directors, the Board of Directors or Audit Committee of the Board of Directors.</w:t>
      </w:r>
    </w:p>
    <w:p>
      <w:pPr>
        <w:spacing w:after="0" w:line="20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5.2</w:t>
      </w:r>
      <w:r>
        <w:rPr>
          <w:sz w:val="20"/>
          <w:szCs w:val="20"/>
          <w:color w:val="auto"/>
        </w:rPr>
        <w:tab/>
      </w:r>
      <w:r>
        <w:rPr>
          <w:rFonts w:ascii="Arial" w:cs="Arial" w:eastAsia="Arial" w:hAnsi="Arial"/>
          <w:sz w:val="19"/>
          <w:szCs w:val="19"/>
          <w:color w:val="008EB0"/>
        </w:rPr>
        <w:t>Prohibition against Insider Trading</w:t>
      </w:r>
    </w:p>
    <w:p>
      <w:pPr>
        <w:spacing w:after="0" w:line="2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No Ascendis Pharma Individual, nor any family members residing with Ascendis Pharma Individuals, anyone else living in the same household as an Ascendis Pharma Individual, nor any family members not living with Ascendis Pharma Individuals whose transactions in Ascendis Pharma’s securities are directed by Ascendis Pharma Individuals, shall purchase or sell any type of security while in possession of material, non-public information relating to the security, whether the issuer of such security is Ascendis Pharma or any other company.</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8355"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72" w:right="359" w:bottom="1440" w:gutter="0" w:footer="0" w:header="0"/>
        </w:sectPr>
      </w:pPr>
    </w:p>
    <w:bookmarkStart w:id="317" w:name="page318"/>
    <w:bookmarkEnd w:id="317"/>
    <w:p>
      <w:pPr>
        <w:spacing w:after="0"/>
        <w:tabs>
          <w:tab w:leader="none" w:pos="780" w:val="left"/>
        </w:tabs>
        <w:rPr>
          <w:sz w:val="20"/>
          <w:szCs w:val="20"/>
          <w:color w:val="auto"/>
        </w:rPr>
      </w:pPr>
      <w:r>
        <w:rPr>
          <w:rFonts w:ascii="Arial" w:cs="Arial" w:eastAsia="Arial" w:hAnsi="Arial"/>
          <w:sz w:val="18"/>
          <w:szCs w:val="18"/>
          <w:color w:val="008EB0"/>
        </w:rPr>
        <w:t>5.2.1</w:t>
      </w:r>
      <w:r>
        <w:rPr>
          <w:sz w:val="20"/>
          <w:szCs w:val="20"/>
          <w:color w:val="auto"/>
        </w:rPr>
        <w:tab/>
      </w:r>
      <w:r>
        <w:rPr>
          <w:rFonts w:ascii="Arial" w:cs="Arial" w:eastAsia="Arial" w:hAnsi="Arial"/>
          <w:sz w:val="17"/>
          <w:szCs w:val="17"/>
          <w:color w:val="008EB0"/>
        </w:rPr>
        <w:t>Event-Specific Blackouts:</w:t>
      </w:r>
    </w:p>
    <w:p>
      <w:pPr>
        <w:spacing w:after="0" w:line="30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From time to time, whether during a closed period or an open trading window cf. above 5.1.1, the Board of Directors, the Chief Legal Officer or the Chief Financial Officer of Ascendis Pharma determine to suspend trading in Ascendis Pharma’s securities by some or all Ascendis Pharma Individuals or others because of developments that have not yet been disclosed to the public. Such suspension is referred to as an “</w:t>
      </w:r>
      <w:r>
        <w:rPr>
          <w:rFonts w:ascii="Arial" w:cs="Arial" w:eastAsia="Arial" w:hAnsi="Arial"/>
          <w:sz w:val="18"/>
          <w:szCs w:val="18"/>
          <w:b w:val="1"/>
          <w:bCs w:val="1"/>
          <w:color w:val="auto"/>
        </w:rPr>
        <w:t>Event-Specific Blackout</w:t>
      </w:r>
      <w:r>
        <w:rPr>
          <w:rFonts w:ascii="Arial" w:cs="Arial" w:eastAsia="Arial" w:hAnsi="Arial"/>
          <w:sz w:val="18"/>
          <w:szCs w:val="18"/>
          <w:color w:val="auto"/>
        </w:rPr>
        <w:t>”. During an Event-Specific Blackout, all individuals affected should not trade in Ascendis Pharma’s securities and should not disclose to others that Ascendis Pharma has implemented an Event-Specific Blackout or otherwise suspended trading.</w:t>
      </w:r>
    </w:p>
    <w:p>
      <w:pPr>
        <w:spacing w:after="0" w:line="1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case of an Event-Specific Blackout, the Ascendis Pharma Individuals subject to the specific blackout will receive an e-mail notification from the Chief Legal Officer or a person authorized by the Chief Legal Officer. Once Ascendis Pharma Individuals are no longer subject to such Event-Specific Blackout, they will receive an e-mail notification confirming the removal of the trading restrictions.</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avoidance of doubt, if Ascendis Pharma Individuals do not receive an e-mail notification regarding an Event-Specific Blackout, but are in possession of material non-public information, such Ascendis Pharma Individuals may not trade. Failure by Ascendis Pharma to provide notice does not relieve Ascendis Pharma Individuals of their obligations under this Policy.</w:t>
      </w:r>
    </w:p>
    <w:p>
      <w:pPr>
        <w:spacing w:after="0" w:line="1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5.2.2</w:t>
      </w:r>
      <w:r>
        <w:rPr>
          <w:sz w:val="20"/>
          <w:szCs w:val="20"/>
          <w:color w:val="auto"/>
        </w:rPr>
        <w:tab/>
      </w:r>
      <w:r>
        <w:rPr>
          <w:rFonts w:ascii="Arial" w:cs="Arial" w:eastAsia="Arial" w:hAnsi="Arial"/>
          <w:sz w:val="17"/>
          <w:szCs w:val="17"/>
          <w:color w:val="008EB0"/>
        </w:rPr>
        <w:t>Pre-Clearance of all trades by Ascendis Pharma Individuals</w:t>
      </w:r>
    </w:p>
    <w:p>
      <w:pPr>
        <w:spacing w:after="0" w:line="304"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All transactions in Ascendis Pharma’s securities, other than Excluded Transactions must be pre-cleared by Ascendis Pharma’s Chief Legal Officer or a person authorized by the Chief Legal Officer.</w:t>
      </w:r>
    </w:p>
    <w:p>
      <w:pPr>
        <w:spacing w:after="0" w:line="14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Preclearance should not be understood to represent the legal advice by Ascendis Pharma that the proposed transaction complies with law. Preclearance does not relieve an individual of their responsibility under SEC rules, and none of Ascendis Pharma, the Chief Legal Officer or Chief Financial Officer, or Ascendis Pharma’s other employees assume any liability for the legality or consequences of such transaction to the person engaging in such transaction, nor will any of the foregoing have any liability for any delay in reviewing, or refusal of, a request for preclearance submitted pursuant to this Section 5.2.2.</w:t>
      </w:r>
    </w:p>
    <w:p>
      <w:pPr>
        <w:spacing w:after="0" w:line="16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To request a pre-clearance, Ascendis Pharma Individuals must confirm that they are not aware or in possession of material non-public information either i) by filling out, dating and signing a Pre-Clearance form, which is available on the Ascendis Pharma intranet or through the Computershare portal, and submit it via Ascendis Pharma email to either Ascendis Pharma’s Chief Legal Officer, or an authorized individual as per directions from the Chief Legal Officer, or ii) by accepting a statement to that effect when using online tools administered by Ascendis Pharma, if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Preclearance is either granted or denied via Company email.</w:t>
      </w:r>
    </w:p>
    <w:p>
      <w:pPr>
        <w:spacing w:after="0" w:line="19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Preclearance may be granted for a period of up to five (5) trading days but may also be granted for a shorter period of time. The preclearance period will be indicated in the preclearance email. Notwithstanding receipt of preclearance, if the preclearance person becomes aware of material non-public information, becomes subject to an Event-Specific Blackout or the Period Trading Window closes before the transaction is effected, the transaction may not be completed. Transactions under a previously established Trading Plan (as defined in Section 7) that has been precleared in accordance with this Policy are not subject to further preclearance.</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835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318" w:name="page319"/>
    <w:bookmarkEnd w:id="318"/>
    <w:p>
      <w:pPr>
        <w:spacing w:after="0"/>
        <w:tabs>
          <w:tab w:leader="none" w:pos="780" w:val="left"/>
        </w:tabs>
        <w:rPr>
          <w:sz w:val="20"/>
          <w:szCs w:val="20"/>
          <w:color w:val="auto"/>
        </w:rPr>
      </w:pPr>
      <w:r>
        <w:rPr>
          <w:rFonts w:ascii="Arial" w:cs="Arial" w:eastAsia="Arial" w:hAnsi="Arial"/>
          <w:sz w:val="18"/>
          <w:szCs w:val="18"/>
          <w:color w:val="008EB0"/>
        </w:rPr>
        <w:t>5.2.3</w:t>
      </w:r>
      <w:r>
        <w:rPr>
          <w:sz w:val="20"/>
          <w:szCs w:val="20"/>
          <w:color w:val="auto"/>
        </w:rPr>
        <w:tab/>
      </w:r>
      <w:r>
        <w:rPr>
          <w:rFonts w:ascii="Arial" w:cs="Arial" w:eastAsia="Arial" w:hAnsi="Arial"/>
          <w:sz w:val="17"/>
          <w:szCs w:val="17"/>
          <w:color w:val="008EB0"/>
        </w:rPr>
        <w:t>General handling of Material Non-Public Information</w:t>
      </w:r>
    </w:p>
    <w:p>
      <w:pPr>
        <w:spacing w:after="0" w:line="304"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Access to material non-public information about Ascendis Pharma, including Ascendis Pharma’s business, earnings or prospects, should be limited to Ascendis Pharma Individuals on a need-to-know basis.</w:t>
      </w:r>
    </w:p>
    <w:p>
      <w:pPr>
        <w:spacing w:after="0" w:line="140" w:lineRule="exact"/>
        <w:rPr>
          <w:sz w:val="20"/>
          <w:szCs w:val="20"/>
          <w:color w:val="auto"/>
        </w:rPr>
      </w:pPr>
    </w:p>
    <w:p>
      <w:pPr>
        <w:ind w:right="860"/>
        <w:spacing w:after="0" w:line="270" w:lineRule="auto"/>
        <w:rPr>
          <w:sz w:val="20"/>
          <w:szCs w:val="20"/>
          <w:color w:val="auto"/>
        </w:rPr>
      </w:pPr>
      <w:r>
        <w:rPr>
          <w:rFonts w:ascii="Arial" w:cs="Arial" w:eastAsia="Arial" w:hAnsi="Arial"/>
          <w:sz w:val="18"/>
          <w:szCs w:val="18"/>
          <w:color w:val="auto"/>
        </w:rPr>
        <w:t>In addition, such information should not be communicated to anyone outside Ascendis Pharma under any circumstances (except in accordance with the Confidentiality Procedure).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Material non-public information must be handled in accordance with our Confidentiality Procedure.</w:t>
      </w: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w:t>
      </w:r>
      <w:r>
        <w:rPr>
          <w:sz w:val="20"/>
          <w:szCs w:val="20"/>
          <w:color w:val="auto"/>
        </w:rPr>
        <w:tab/>
      </w:r>
      <w:r>
        <w:rPr>
          <w:rFonts w:ascii="Arial" w:cs="Arial" w:eastAsia="Arial" w:hAnsi="Arial"/>
          <w:sz w:val="17"/>
          <w:szCs w:val="17"/>
          <w:color w:val="008EB0"/>
        </w:rPr>
        <w:t>Prohibited Transactions</w:t>
      </w:r>
    </w:p>
    <w:p>
      <w:pPr>
        <w:spacing w:after="0" w:line="3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Ascendis Pharma has determined that there is a heightened legal risk and the appearance of improper or inappropriate conduct if persons subject to this Policy engage in certain types of transactions. Therefore, Ascendis Pharma Individuals shall comply with the following requirements with respect to certain transactions in Ascendis Pharma securities:</w:t>
      </w:r>
    </w:p>
    <w:p>
      <w:pPr>
        <w:spacing w:after="0" w:line="1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5.2.4.1</w:t>
        <w:tab/>
        <w:t>Short Sales</w:t>
      </w:r>
    </w:p>
    <w:p>
      <w:pPr>
        <w:spacing w:after="0" w:line="3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Short sales of Ascendis Pharma’s Securities are prohibited by this Policy. Short sales of Ascendis Pharma’s Securities, or sales of shares that the seller does not own at the time of sale, or sales of shares against which the seller does not deliver the shares within 20 days after the sale, evidence an expectation on the part of the seller that the Securities will decline in value, and, therefore, signal to the market that the seller has no confidence in Ascendis Pharma or its short-term prospects.</w:t>
      </w:r>
    </w:p>
    <w:p>
      <w:pPr>
        <w:spacing w:after="0" w:line="1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5.2.4.2</w:t>
      </w:r>
      <w:r>
        <w:rPr>
          <w:sz w:val="20"/>
          <w:szCs w:val="20"/>
          <w:color w:val="auto"/>
        </w:rPr>
        <w:tab/>
      </w:r>
      <w:r>
        <w:rPr>
          <w:rFonts w:ascii="Arial" w:cs="Arial" w:eastAsia="Arial" w:hAnsi="Arial"/>
          <w:sz w:val="17"/>
          <w:szCs w:val="17"/>
          <w:color w:val="008EB0"/>
        </w:rPr>
        <w:t>Options</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Transactions in puts, calls, or other derivative securities involving Ascendis Pharma’s equity securities, on an exchange, on an over-the-counter market, or in any other organized market, are prohibited by this Policy. A transaction in options is, in effect, a bet on the short-term movement of Ascendis Pharma’s shares and, therefore, creates the appearance that an Ascendis Pharma Individual is trading based on material non-public information. Transactions in options, whether traded on an exchange, on an over-the-counter market, or any other organized market, may also focus an Ascendis Pharma Individual’s attention on short-term performance at the expense of Ascendis Pharma’s long-term objectives.</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5.2.4.3</w:t>
      </w:r>
      <w:r>
        <w:rPr>
          <w:sz w:val="20"/>
          <w:szCs w:val="20"/>
          <w:color w:val="auto"/>
        </w:rPr>
        <w:tab/>
      </w:r>
      <w:r>
        <w:rPr>
          <w:rFonts w:ascii="Arial" w:cs="Arial" w:eastAsia="Arial" w:hAnsi="Arial"/>
          <w:sz w:val="17"/>
          <w:szCs w:val="17"/>
          <w:color w:val="008EB0"/>
        </w:rPr>
        <w:t>Hedging Transactions</w:t>
      </w:r>
    </w:p>
    <w:p>
      <w:pPr>
        <w:spacing w:after="0" w:line="3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Hedging transactions involving Ascendis Pharma’s Securities, such as prepaid variable forward sale contracts, equity swaps, collars and exchange funds, or other transactions that hedge or offset, or are designed to hedge or offset, any decrease in the market value of Ascendis Pharma’s equity Securities, are prohibited by this Policy. Such transactions allow the Ascendis Pharma Individual to continue to own the covered Securities, but without the full risks and rewards of ownership. When that occurs, the Ascendis Pharma Individual may no longer have the same objectives as Ascendis Pharma’s other shareholders.</w:t>
      </w:r>
    </w:p>
    <w:p>
      <w:pPr>
        <w:spacing w:after="0" w:line="1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5.2.4.4</w:t>
      </w:r>
      <w:r>
        <w:rPr>
          <w:sz w:val="20"/>
          <w:szCs w:val="20"/>
          <w:color w:val="auto"/>
        </w:rPr>
        <w:tab/>
      </w:r>
      <w:r>
        <w:rPr>
          <w:rFonts w:ascii="Arial" w:cs="Arial" w:eastAsia="Arial" w:hAnsi="Arial"/>
          <w:sz w:val="17"/>
          <w:szCs w:val="17"/>
          <w:color w:val="008EB0"/>
        </w:rPr>
        <w:t>Margin Accounts and Pledging</w:t>
      </w:r>
    </w:p>
    <w:p>
      <w:pPr>
        <w:spacing w:after="0" w:line="3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Ascendis Pharma Individuals are prohibited from pledging Ascendis Pharma Securities as collateral for a loan, purchasing Company Securities on margin (i.e. borrowing money to purchase the securities) or placing Company Securities in a margin account. This prohibition does not apply to cashless exercises of warrants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835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under Ascendis Pharma’s equity plans or to situations approved in advance by the Chief Legal Officer or Chief Financial Officer.</w:t>
      </w:r>
    </w:p>
    <w:p>
      <w:pPr>
        <w:spacing w:after="0" w:line="1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5.2.4.5</w:t>
      </w:r>
      <w:r>
        <w:rPr>
          <w:sz w:val="20"/>
          <w:szCs w:val="20"/>
          <w:color w:val="auto"/>
        </w:rPr>
        <w:tab/>
      </w:r>
      <w:r>
        <w:rPr>
          <w:rFonts w:ascii="Arial" w:cs="Arial" w:eastAsia="Arial" w:hAnsi="Arial"/>
          <w:sz w:val="17"/>
          <w:szCs w:val="17"/>
          <w:color w:val="008EB0"/>
        </w:rPr>
        <w:t>Partnership Distributions</w:t>
      </w:r>
    </w:p>
    <w:p>
      <w:pPr>
        <w:spacing w:after="0" w:line="3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66" w:lineRule="exact"/>
        <w:rPr>
          <w:sz w:val="20"/>
          <w:szCs w:val="20"/>
          <w:color w:val="auto"/>
        </w:rPr>
      </w:pPr>
    </w:p>
    <w:p>
      <w:pPr>
        <w:ind w:left="480" w:hanging="472"/>
        <w:spacing w:after="0"/>
        <w:tabs>
          <w:tab w:leader="none" w:pos="480" w:val="left"/>
        </w:tabs>
        <w:numPr>
          <w:ilvl w:val="0"/>
          <w:numId w:val="209"/>
        </w:numPr>
        <w:rPr>
          <w:rFonts w:ascii="Arial" w:cs="Arial" w:eastAsia="Arial" w:hAnsi="Arial"/>
          <w:sz w:val="22"/>
          <w:szCs w:val="22"/>
          <w:color w:val="008EB0"/>
        </w:rPr>
      </w:pPr>
      <w:r>
        <w:rPr>
          <w:rFonts w:ascii="Arial" w:cs="Arial" w:eastAsia="Arial" w:hAnsi="Arial"/>
          <w:sz w:val="22"/>
          <w:szCs w:val="22"/>
          <w:color w:val="008EB0"/>
        </w:rPr>
        <w:t>Rule 10b5-1 Trading Plans</w:t>
      </w: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trading restrictions set forth in this Policy, other than those transactions described under “Prohibited Transactions” in Section 5.2.4 of this Policy, do not apply to transactions under a previously established contract, plan or instruction to trade in Ascendis Pharma’s Securities entered into in accordance with Rule 10b5-1 (a “</w:t>
      </w:r>
      <w:r>
        <w:rPr>
          <w:rFonts w:ascii="Arial" w:cs="Arial" w:eastAsia="Arial" w:hAnsi="Arial"/>
          <w:sz w:val="18"/>
          <w:szCs w:val="18"/>
          <w:b w:val="1"/>
          <w:bCs w:val="1"/>
          <w:color w:val="auto"/>
        </w:rPr>
        <w:t>Trading Plan</w:t>
      </w:r>
      <w:r>
        <w:rPr>
          <w:rFonts w:ascii="Arial" w:cs="Arial" w:eastAsia="Arial" w:hAnsi="Arial"/>
          <w:sz w:val="18"/>
          <w:szCs w:val="18"/>
          <w:color w:val="auto"/>
        </w:rPr>
        <w:t>”) that:</w:t>
      </w:r>
    </w:p>
    <w:p>
      <w:pPr>
        <w:spacing w:after="0" w:line="104" w:lineRule="exact"/>
        <w:rPr>
          <w:sz w:val="20"/>
          <w:szCs w:val="20"/>
          <w:color w:val="auto"/>
        </w:rPr>
      </w:pPr>
    </w:p>
    <w:p>
      <w:pPr>
        <w:ind w:left="1500" w:hanging="337"/>
        <w:spacing w:after="0" w:line="264" w:lineRule="auto"/>
        <w:rPr>
          <w:sz w:val="20"/>
          <w:szCs w:val="20"/>
          <w:color w:val="auto"/>
        </w:rPr>
      </w:pPr>
      <w:r>
        <w:rPr>
          <w:rFonts w:ascii="Arial" w:cs="Arial" w:eastAsia="Arial" w:hAnsi="Arial"/>
          <w:sz w:val="18"/>
          <w:szCs w:val="18"/>
          <w:color w:val="auto"/>
        </w:rPr>
        <w:t>has been submitted to and preapproved by Ascendis Pharma’s Chief Legal Officer or, in the case of exceptions for the Chief Legal Officer, the Chief Financial Officer, or such other person(s) as the Board of Directors may designate from time to time (each, an “</w:t>
      </w:r>
      <w:r>
        <w:rPr>
          <w:rFonts w:ascii="Arial" w:cs="Arial" w:eastAsia="Arial" w:hAnsi="Arial"/>
          <w:sz w:val="18"/>
          <w:szCs w:val="18"/>
          <w:b w:val="1"/>
          <w:bCs w:val="1"/>
          <w:color w:val="auto"/>
        </w:rPr>
        <w:t>Authorizing Officer</w:t>
      </w:r>
      <w:r>
        <w:rPr>
          <w:rFonts w:ascii="Arial" w:cs="Arial" w:eastAsia="Arial" w:hAnsi="Arial"/>
          <w:sz w:val="18"/>
          <w:szCs w:val="18"/>
          <w:color w:val="auto"/>
        </w:rPr>
        <w:t>”);</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includes a “</w:t>
      </w:r>
      <w:r>
        <w:rPr>
          <w:rFonts w:ascii="Arial" w:cs="Arial" w:eastAsia="Arial" w:hAnsi="Arial"/>
          <w:sz w:val="18"/>
          <w:szCs w:val="18"/>
          <w:b w:val="1"/>
          <w:bCs w:val="1"/>
          <w:color w:val="auto"/>
        </w:rPr>
        <w:t>Cooling Off Period</w:t>
      </w:r>
      <w:r>
        <w:rPr>
          <w:rFonts w:ascii="Arial" w:cs="Arial" w:eastAsia="Arial" w:hAnsi="Arial"/>
          <w:sz w:val="18"/>
          <w:szCs w:val="18"/>
          <w:color w:val="auto"/>
        </w:rPr>
        <w:t>” for:</w:t>
      </w:r>
    </w:p>
    <w:p>
      <w:pPr>
        <w:spacing w:after="0" w:line="223" w:lineRule="exact"/>
        <w:rPr>
          <w:sz w:val="20"/>
          <w:szCs w:val="20"/>
          <w:color w:val="auto"/>
        </w:rPr>
      </w:pPr>
    </w:p>
    <w:p>
      <w:pPr>
        <w:jc w:val="both"/>
        <w:ind w:left="2260" w:hanging="380"/>
        <w:spacing w:after="0" w:line="259" w:lineRule="auto"/>
        <w:tabs>
          <w:tab w:leader="none" w:pos="2244" w:val="left"/>
        </w:tabs>
        <w:numPr>
          <w:ilvl w:val="1"/>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and officers that extends to the later of 90 days after adoption or modification of a Trading Plan or two business days after filing the Form 20-F or Form 6-K disclosing financial results covering the fiscal quarter in which the Trading Plan was adopted, up to a maximum of 120 days; and</w:t>
      </w:r>
    </w:p>
    <w:p>
      <w:pPr>
        <w:spacing w:after="0" w:line="163" w:lineRule="exact"/>
        <w:rPr>
          <w:rFonts w:ascii="Times New Roman" w:cs="Times New Roman" w:eastAsia="Times New Roman" w:hAnsi="Times New Roman"/>
          <w:sz w:val="18"/>
          <w:szCs w:val="18"/>
          <w:color w:val="auto"/>
        </w:rPr>
      </w:pPr>
    </w:p>
    <w:p>
      <w:pPr>
        <w:ind w:left="2260" w:hanging="380"/>
        <w:spacing w:after="0" w:line="284" w:lineRule="auto"/>
        <w:tabs>
          <w:tab w:leader="none" w:pos="2285" w:val="left"/>
        </w:tabs>
        <w:numPr>
          <w:ilvl w:val="1"/>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employees and any other persons, other than Ascendis Pharma, that extends 30 days after adoption or modification of a Trading Plan;</w:t>
      </w:r>
    </w:p>
    <w:p>
      <w:pPr>
        <w:spacing w:after="0" w:line="141" w:lineRule="exact"/>
        <w:rPr>
          <w:rFonts w:ascii="Times New Roman" w:cs="Times New Roman" w:eastAsia="Times New Roman" w:hAnsi="Times New Roman"/>
          <w:sz w:val="18"/>
          <w:szCs w:val="18"/>
          <w:color w:val="auto"/>
        </w:rPr>
      </w:pPr>
    </w:p>
    <w:p>
      <w:pPr>
        <w:ind w:left="1500" w:hanging="310"/>
        <w:spacing w:after="0" w:line="259" w:lineRule="auto"/>
        <w:rPr>
          <w:rFonts w:ascii="Times New Roman" w:cs="Times New Roman" w:eastAsia="Times New Roman" w:hAnsi="Times New Roman"/>
          <w:sz w:val="18"/>
          <w:szCs w:val="18"/>
          <w:color w:val="auto"/>
        </w:rPr>
      </w:pPr>
      <w:r>
        <w:rPr>
          <w:rFonts w:ascii="Arial" w:cs="Arial" w:eastAsia="Arial" w:hAnsi="Arial"/>
          <w:sz w:val="18"/>
          <w:szCs w:val="18"/>
          <w:color w:val="auto"/>
        </w:rPr>
        <w:t>for directors and officers, includes a representation in the Trading Plan that the director or officer is (1) not aware of any material non-public information about Ascendis Pharma or its securities; and (2) adopting the Trading Plan in good faith and not as part of a plan or scheme to evade Rule 10b-5;</w:t>
      </w:r>
    </w:p>
    <w:p>
      <w:pPr>
        <w:spacing w:after="0" w:line="163" w:lineRule="exact"/>
        <w:rPr>
          <w:rFonts w:ascii="Times New Roman" w:cs="Times New Roman" w:eastAsia="Times New Roman" w:hAnsi="Times New Roman"/>
          <w:sz w:val="18"/>
          <w:szCs w:val="18"/>
          <w:color w:val="auto"/>
        </w:rPr>
      </w:pPr>
    </w:p>
    <w:p>
      <w:pPr>
        <w:ind w:left="1500" w:hanging="323"/>
        <w:spacing w:after="0" w:line="251" w:lineRule="auto"/>
        <w:rPr>
          <w:rFonts w:ascii="Times New Roman" w:cs="Times New Roman" w:eastAsia="Times New Roman" w:hAnsi="Times New Roman"/>
          <w:sz w:val="18"/>
          <w:szCs w:val="18"/>
          <w:color w:val="auto"/>
        </w:rPr>
      </w:pPr>
      <w:r>
        <w:rPr>
          <w:rFonts w:ascii="Arial" w:cs="Arial" w:eastAsia="Arial" w:hAnsi="Arial"/>
          <w:sz w:val="18"/>
          <w:szCs w:val="18"/>
          <w:color w:val="auto"/>
        </w:rPr>
        <w:t>has been entered into in good faith at a time when the Ascendis Pharma Individual was not in possession of material non-public information about Ascendis Pharma and not otherwise in a blackout period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during a Periodic Trading Window and not during an Event-Specific Blackout), and the person who entered into the Trading Plan has acted in good faith with respect to the Trading Plan;</w:t>
      </w:r>
    </w:p>
    <w:p>
      <w:pPr>
        <w:spacing w:after="0" w:line="169" w:lineRule="exact"/>
        <w:rPr>
          <w:rFonts w:ascii="Times New Roman" w:cs="Times New Roman" w:eastAsia="Times New Roman" w:hAnsi="Times New Roman"/>
          <w:sz w:val="18"/>
          <w:szCs w:val="18"/>
          <w:color w:val="auto"/>
        </w:rPr>
      </w:pPr>
    </w:p>
    <w:p>
      <w:pPr>
        <w:ind w:left="1500" w:hanging="323"/>
        <w:spacing w:after="0" w:line="259" w:lineRule="auto"/>
        <w:rPr>
          <w:rFonts w:ascii="Times New Roman" w:cs="Times New Roman" w:eastAsia="Times New Roman" w:hAnsi="Times New Roman"/>
          <w:sz w:val="18"/>
          <w:szCs w:val="18"/>
          <w:color w:val="auto"/>
        </w:rPr>
      </w:pPr>
      <w:r>
        <w:rPr>
          <w:rFonts w:ascii="Arial" w:cs="Arial" w:eastAsia="Arial" w:hAnsi="Arial"/>
          <w:sz w:val="18"/>
          <w:szCs w:val="18"/>
          <w:color w:val="auto"/>
        </w:rPr>
        <w:t>either (1) specifies the amounts, prices, and dates of all security transactions under the Trading Plan, (2) provides a written formula, algorithm, or computer program for determining the amount, price, and date of the transactions, and (3) prohibits the individual from exercising any subsequent influence over the transactions; and</w:t>
      </w:r>
    </w:p>
    <w:p>
      <w:pPr>
        <w:spacing w:after="0" w:line="16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complies with all other applicable requirements of Rule 10b5-1.</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835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20" w:name="page321"/>
    <w:bookmarkEnd w:id="320"/>
    <w:p>
      <w:pPr>
        <w:jc w:val="both"/>
        <w:spacing w:after="0" w:line="252" w:lineRule="auto"/>
        <w:rPr>
          <w:sz w:val="20"/>
          <w:szCs w:val="20"/>
          <w:color w:val="auto"/>
        </w:rPr>
      </w:pPr>
      <w:r>
        <w:rPr>
          <w:rFonts w:ascii="Arial" w:cs="Arial" w:eastAsia="Arial" w:hAnsi="Arial"/>
          <w:sz w:val="18"/>
          <w:szCs w:val="18"/>
          <w:color w:val="auto"/>
        </w:rPr>
        <w:t>The Authorizing Officer may impose such other conditions on the implementation and operation of the Trading Plans as he or she deems necessary or advisable. Individuals may not adopt more than one Trading Plan at a time except under the limited circumstances permitted by Rule 10b5-1 and subject to preapproval by the Authorizing Officer.</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Ascendis Pharma Individuals may only modify a Trading Plan outside of a blackout period (</w:t>
      </w:r>
      <w:r>
        <w:rPr>
          <w:rFonts w:ascii="Arial" w:cs="Arial" w:eastAsia="Arial" w:hAnsi="Arial"/>
          <w:sz w:val="18"/>
          <w:szCs w:val="18"/>
          <w:i w:val="1"/>
          <w:iCs w:val="1"/>
          <w:color w:val="auto"/>
        </w:rPr>
        <w:t>i.e.</w:t>
      </w:r>
      <w:r>
        <w:rPr>
          <w:rFonts w:ascii="Arial" w:cs="Arial" w:eastAsia="Arial" w:hAnsi="Arial"/>
          <w:sz w:val="18"/>
          <w:szCs w:val="18"/>
          <w:color w:val="auto"/>
        </w:rPr>
        <w:t>, during a Periodic Trading Window and not during an Event-Specific Blackout) and, in any event, when the individual does not possess material non-public information.</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Modifications to and terminations of a Trading Plan are subject to preapproval by the Authorizing Officer and modifications of a Trading Plan that change the amount, price, or timing of the purchase or sale of the securities underlying a Trading Plan will trigger a new Cooling-Off Period.</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Ascendis Pharma reserves the right to publicly disclose, announce, or respond to inquiries from the media regarding, the adoption, modification, or termination of a Trading Plan and non-Rule 10b5-1 trading arrangements, or the execution of transactions made under a Trading Plan. Ascendis Pharma also reserves the right from time to time to suspend, discontinue, or otherwise prohibit transactions under a Trading Plan if the Authorizing Officer or the Board of Directors, in its discretion, determines that such suspension, discontinuation, or other prohibition is in the best interests of Ascendis Pharma.</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Compliance of a Trading Plan with the terms of Rule 10b5-1 and the execution of transactions pursuant to the Trading Plan are the sole responsibility of the person initiating the Trading Plan, and none of Ascendis Pharma, the Authorizing Officer, or Ascendis Pharma’s other employees assumes any liability for any delay in reviewing and/or refusing to approve a Trading Plan submitted for approval, nor the legality or consequences relating to a person entering into, informing Ascendis Pharma of, or trading under, a Trading Plan.</w:t>
      </w:r>
    </w:p>
    <w:p>
      <w:pPr>
        <w:spacing w:after="0" w:line="166" w:lineRule="exact"/>
        <w:rPr>
          <w:sz w:val="20"/>
          <w:szCs w:val="20"/>
          <w:color w:val="auto"/>
        </w:rPr>
      </w:pPr>
    </w:p>
    <w:p>
      <w:pPr>
        <w:ind w:left="540" w:hanging="532"/>
        <w:spacing w:after="0"/>
        <w:tabs>
          <w:tab w:leader="none" w:pos="540" w:val="left"/>
        </w:tabs>
        <w:numPr>
          <w:ilvl w:val="0"/>
          <w:numId w:val="212"/>
        </w:numPr>
        <w:rPr>
          <w:rFonts w:ascii="Arial" w:cs="Arial" w:eastAsia="Arial" w:hAnsi="Arial"/>
          <w:sz w:val="22"/>
          <w:szCs w:val="22"/>
          <w:color w:val="008EB0"/>
        </w:rPr>
      </w:pPr>
      <w:r>
        <w:rPr>
          <w:rFonts w:ascii="Arial" w:cs="Arial" w:eastAsia="Arial" w:hAnsi="Arial"/>
          <w:sz w:val="22"/>
          <w:szCs w:val="22"/>
          <w:color w:val="008EB0"/>
        </w:rPr>
        <w:t>Interpretation, Amendment, and Implementation of this Policy</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Chief Legal Officer shall have the authority to interpret and update this Policy and all related policies and procedures. In particular, such interpretations and updates of this Policy, as authorized by the Chief Legal Officer, may include amendments to or departures from the terms of this Policy, to the extent consistent with the general purpose of this Policy and applicable securities laws.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Actions taken by Ascendis Pharma, the Chief Legal Officer, or any other Company personnel do not constitute legal advice, nor do they insulate you from the consequences of noncompliance with this Policy or with securities laws. Overvej en section som beskriver implementation – at alle Ascendis Pharma Individuals skal og har Confirmed compliance with this Policy by Read and Understood in Ascendis Pharma compliance system</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835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Møller Mikkelsen, certify that:</w:t>
      </w:r>
    </w:p>
    <w:p>
      <w:pPr>
        <w:spacing w:after="0" w:line="116" w:lineRule="exact"/>
        <w:rPr>
          <w:sz w:val="20"/>
          <w:szCs w:val="20"/>
          <w:color w:val="auto"/>
        </w:rPr>
      </w:pPr>
    </w:p>
    <w:p>
      <w:pPr>
        <w:ind w:left="180" w:hanging="172"/>
        <w:spacing w:after="0"/>
        <w:tabs>
          <w:tab w:leader="none" w:pos="1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Ascendis Pharma A/S (the “Company”);</w:t>
      </w:r>
    </w:p>
    <w:p>
      <w:pPr>
        <w:spacing w:after="0" w:line="115" w:lineRule="exact"/>
        <w:rPr>
          <w:rFonts w:ascii="Times New Roman" w:cs="Times New Roman" w:eastAsia="Times New Roman" w:hAnsi="Times New Roman"/>
          <w:sz w:val="18"/>
          <w:szCs w:val="18"/>
          <w:color w:val="auto"/>
        </w:rPr>
      </w:pPr>
    </w:p>
    <w:p>
      <w:pPr>
        <w:ind w:right="300" w:firstLine="8"/>
        <w:spacing w:after="0" w:line="311" w:lineRule="auto"/>
        <w:tabs>
          <w:tab w:leader="none" w:pos="179"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80" w:firstLine="8"/>
        <w:spacing w:after="0" w:line="280" w:lineRule="auto"/>
        <w:tabs>
          <w:tab w:leader="none" w:pos="17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8"/>
          <w:szCs w:val="18"/>
          <w:color w:val="auto"/>
        </w:rPr>
      </w:pPr>
    </w:p>
    <w:p>
      <w:pPr>
        <w:ind w:right="40" w:firstLine="8"/>
        <w:spacing w:after="0" w:line="265" w:lineRule="auto"/>
        <w:tabs>
          <w:tab w:leader="none" w:pos="17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68" w:lineRule="exact"/>
        <w:rPr>
          <w:sz w:val="20"/>
          <w:szCs w:val="20"/>
          <w:color w:val="auto"/>
        </w:rPr>
      </w:pPr>
    </w:p>
    <w:p>
      <w:pPr>
        <w:ind w:right="160" w:firstLine="8"/>
        <w:spacing w:after="0" w:line="265" w:lineRule="auto"/>
        <w:tabs>
          <w:tab w:leader="none" w:pos="24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100" w:firstLine="8"/>
        <w:spacing w:after="0" w:line="265" w:lineRule="auto"/>
        <w:tabs>
          <w:tab w:leader="none" w:pos="25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40" w:firstLine="8"/>
        <w:spacing w:after="0" w:line="280" w:lineRule="auto"/>
        <w:tabs>
          <w:tab w:leader="none" w:pos="24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ind w:right="380" w:firstLine="8"/>
        <w:spacing w:after="0" w:line="280" w:lineRule="auto"/>
        <w:tabs>
          <w:tab w:leader="none" w:pos="25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5" w:lineRule="exact"/>
        <w:rPr>
          <w:sz w:val="20"/>
          <w:szCs w:val="20"/>
          <w:color w:val="auto"/>
        </w:rPr>
      </w:pPr>
    </w:p>
    <w:p>
      <w:pPr>
        <w:ind w:right="500" w:firstLine="8"/>
        <w:spacing w:after="0" w:line="280" w:lineRule="auto"/>
        <w:tabs>
          <w:tab w:leader="none" w:pos="17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sz w:val="20"/>
          <w:szCs w:val="20"/>
          <w:color w:val="auto"/>
        </w:rPr>
      </w:pPr>
    </w:p>
    <w:p>
      <w:pPr>
        <w:ind w:right="80" w:firstLine="8"/>
        <w:spacing w:after="0" w:line="280" w:lineRule="auto"/>
        <w:tabs>
          <w:tab w:leader="none" w:pos="2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right="280" w:firstLine="8"/>
        <w:spacing w:after="0" w:line="280" w:lineRule="auto"/>
        <w:tabs>
          <w:tab w:leader="none" w:pos="25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248602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Jan Møller Mikkelsen</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Smith, certify that:</w:t>
      </w:r>
    </w:p>
    <w:p>
      <w:pPr>
        <w:spacing w:after="0" w:line="116" w:lineRule="exact"/>
        <w:rPr>
          <w:sz w:val="20"/>
          <w:szCs w:val="20"/>
          <w:color w:val="auto"/>
        </w:rPr>
      </w:pPr>
    </w:p>
    <w:p>
      <w:pPr>
        <w:ind w:left="180" w:hanging="172"/>
        <w:spacing w:after="0"/>
        <w:tabs>
          <w:tab w:leader="none" w:pos="1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Ascendis Pharma A/S (the “Company”);</w:t>
      </w:r>
    </w:p>
    <w:p>
      <w:pPr>
        <w:spacing w:after="0" w:line="115" w:lineRule="exact"/>
        <w:rPr>
          <w:rFonts w:ascii="Times New Roman" w:cs="Times New Roman" w:eastAsia="Times New Roman" w:hAnsi="Times New Roman"/>
          <w:sz w:val="18"/>
          <w:szCs w:val="18"/>
          <w:color w:val="auto"/>
        </w:rPr>
      </w:pPr>
    </w:p>
    <w:p>
      <w:pPr>
        <w:ind w:right="300" w:firstLine="8"/>
        <w:spacing w:after="0" w:line="311" w:lineRule="auto"/>
        <w:tabs>
          <w:tab w:leader="none" w:pos="179"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80" w:firstLine="8"/>
        <w:spacing w:after="0" w:line="280" w:lineRule="auto"/>
        <w:tabs>
          <w:tab w:leader="none" w:pos="17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8"/>
          <w:szCs w:val="18"/>
          <w:color w:val="auto"/>
        </w:rPr>
      </w:pPr>
    </w:p>
    <w:p>
      <w:pPr>
        <w:ind w:right="40" w:firstLine="8"/>
        <w:spacing w:after="0" w:line="265" w:lineRule="auto"/>
        <w:tabs>
          <w:tab w:leader="none" w:pos="17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68" w:lineRule="exact"/>
        <w:rPr>
          <w:sz w:val="20"/>
          <w:szCs w:val="20"/>
          <w:color w:val="auto"/>
        </w:rPr>
      </w:pPr>
    </w:p>
    <w:p>
      <w:pPr>
        <w:ind w:right="160" w:firstLine="8"/>
        <w:spacing w:after="0" w:line="265" w:lineRule="auto"/>
        <w:tabs>
          <w:tab w:leader="none" w:pos="2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100" w:firstLine="8"/>
        <w:spacing w:after="0" w:line="265" w:lineRule="auto"/>
        <w:tabs>
          <w:tab w:leader="none" w:pos="25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40" w:firstLine="8"/>
        <w:spacing w:after="0" w:line="280" w:lineRule="auto"/>
        <w:tabs>
          <w:tab w:leader="none" w:pos="2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ind w:right="380" w:firstLine="8"/>
        <w:spacing w:after="0" w:line="280" w:lineRule="auto"/>
        <w:tabs>
          <w:tab w:leader="none" w:pos="25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5" w:lineRule="exact"/>
        <w:rPr>
          <w:sz w:val="20"/>
          <w:szCs w:val="20"/>
          <w:color w:val="auto"/>
        </w:rPr>
      </w:pPr>
    </w:p>
    <w:p>
      <w:pPr>
        <w:ind w:right="500" w:firstLine="8"/>
        <w:spacing w:after="0" w:line="280" w:lineRule="auto"/>
        <w:tabs>
          <w:tab w:leader="none" w:pos="17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sz w:val="20"/>
          <w:szCs w:val="20"/>
          <w:color w:val="auto"/>
        </w:rPr>
      </w:pPr>
    </w:p>
    <w:p>
      <w:pPr>
        <w:ind w:right="80" w:firstLine="8"/>
        <w:spacing w:after="0" w:line="280" w:lineRule="auto"/>
        <w:tabs>
          <w:tab w:leader="none" w:pos="2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right="280" w:firstLine="8"/>
        <w:spacing w:after="0" w:line="280" w:lineRule="auto"/>
        <w:tabs>
          <w:tab w:leader="none" w:pos="25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17145</wp:posOffset>
            </wp:positionV>
            <wp:extent cx="247713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T. Smith</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U.S.C.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AS ADOPTED PURSUANT TO SECTION 906 OF THE SARBANES-OXLEY ACT OF 2002*</w:t>
      </w:r>
    </w:p>
    <w:p>
      <w:pPr>
        <w:spacing w:after="0" w:line="20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20-F of Ascendis Pharma A/S (the “Company”) for the year ended December 31, 2023,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spacing w:after="0" w:line="75" w:lineRule="exact"/>
        <w:rPr>
          <w:sz w:val="20"/>
          <w:szCs w:val="20"/>
          <w:color w:val="auto"/>
        </w:rPr>
      </w:pPr>
    </w:p>
    <w:p>
      <w:pPr>
        <w:ind w:left="260" w:hanging="252"/>
        <w:spacing w:after="0"/>
        <w:tabs>
          <w:tab w:leader="none" w:pos="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248602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Jan Møller Mikkelsen</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18 U.S.C.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AS ADOPTED PURSUANT TO SECTION 906 OF THE SARBANES-OXLEY ACT OF 2002*</w:t>
      </w:r>
    </w:p>
    <w:p>
      <w:pPr>
        <w:spacing w:after="0" w:line="20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20-F of Ascendis Pharma A/S (the “Company”) for the year ended December 31, 2023,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spacing w:after="0" w:line="75" w:lineRule="exact"/>
        <w:rPr>
          <w:sz w:val="20"/>
          <w:szCs w:val="20"/>
          <w:color w:val="auto"/>
        </w:rPr>
      </w:pPr>
    </w:p>
    <w:p>
      <w:pPr>
        <w:ind w:left="260" w:hanging="252"/>
        <w:spacing w:after="0"/>
        <w:tabs>
          <w:tab w:leader="none" w:pos="2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248602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T. Smith</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333-203040, 333-210810, 333-211512, 333-213412, 333-214843, 333-216883, 333-228576, 333-254101, 333-261550 and 333-270088 on Form S-8 and Registration Statement Nos. 333-209336, 333-211511, 333-216882, 333-223134, 333-225284 and 333-256571 on Form F-3 of our report dated February 7, 2024, relating to the financial statements of Ascendis Pharma A/S and the effectiveness of Ascendis Pharma A/S’s internal control over financial reporting appearing in this Annual Report on Form 20-F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8355"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tc>
      </w:tr>
      <w:tr>
        <w:trPr>
          <w:trHeight w:val="458"/>
        </w:trPr>
        <w:tc>
          <w:tcPr>
            <w:tcW w:w="7720" w:type="dxa"/>
            <w:vAlign w:val="bottom"/>
            <w:gridSpan w:val="2"/>
          </w:tcPr>
          <w:p>
            <w:pPr>
              <w:spacing w:after="0"/>
              <w:rPr>
                <w:sz w:val="20"/>
                <w:szCs w:val="20"/>
                <w:color w:val="auto"/>
              </w:rPr>
            </w:pPr>
            <w:r>
              <w:rPr>
                <w:rFonts w:ascii="Arial" w:cs="Arial" w:eastAsia="Arial" w:hAnsi="Arial"/>
                <w:sz w:val="22"/>
                <w:szCs w:val="22"/>
                <w:color w:val="008EB0"/>
              </w:rPr>
              <w:t>Contents</w:t>
            </w:r>
          </w:p>
        </w:tc>
        <w:tc>
          <w:tcPr>
            <w:tcW w:w="3520" w:type="dxa"/>
            <w:vAlign w:val="bottom"/>
          </w:tcPr>
          <w:p>
            <w:pPr>
              <w:spacing w:after="0"/>
              <w:rPr>
                <w:sz w:val="24"/>
                <w:szCs w:val="24"/>
                <w:color w:val="auto"/>
              </w:rPr>
            </w:pPr>
          </w:p>
        </w:tc>
      </w:tr>
      <w:tr>
        <w:trPr>
          <w:trHeight w:val="326"/>
        </w:trPr>
        <w:tc>
          <w:tcPr>
            <w:tcW w:w="460" w:type="dxa"/>
            <w:vAlign w:val="bottom"/>
          </w:tcPr>
          <w:p>
            <w:pPr>
              <w:ind w:left="20"/>
              <w:spacing w:after="0"/>
              <w:rPr>
                <w:sz w:val="20"/>
                <w:szCs w:val="20"/>
                <w:color w:val="auto"/>
              </w:rPr>
            </w:pPr>
            <w:r>
              <w:rPr>
                <w:rFonts w:ascii="Arial" w:cs="Arial" w:eastAsia="Arial" w:hAnsi="Arial"/>
                <w:sz w:val="18"/>
                <w:szCs w:val="18"/>
                <w:color w:val="auto"/>
              </w:rPr>
              <w:t>1</w:t>
            </w:r>
          </w:p>
        </w:tc>
        <w:tc>
          <w:tcPr>
            <w:tcW w:w="7260" w:type="dxa"/>
            <w:vAlign w:val="bottom"/>
          </w:tcPr>
          <w:p>
            <w:pPr>
              <w:ind w:left="220"/>
              <w:spacing w:after="0"/>
              <w:rPr>
                <w:sz w:val="20"/>
                <w:szCs w:val="20"/>
                <w:color w:val="auto"/>
              </w:rPr>
            </w:pPr>
            <w:r>
              <w:rPr>
                <w:rFonts w:ascii="Arial" w:cs="Arial" w:eastAsia="Arial" w:hAnsi="Arial"/>
                <w:sz w:val="18"/>
                <w:szCs w:val="18"/>
                <w:color w:val="auto"/>
              </w:rPr>
              <w:t>Persons Subject to Policy</w:t>
            </w:r>
          </w:p>
        </w:tc>
        <w:tc>
          <w:tcPr>
            <w:tcW w:w="3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2</w:t>
            </w:r>
          </w:p>
        </w:tc>
        <w:tc>
          <w:tcPr>
            <w:tcW w:w="7260" w:type="dxa"/>
            <w:vAlign w:val="bottom"/>
          </w:tcPr>
          <w:p>
            <w:pPr>
              <w:ind w:left="220"/>
              <w:spacing w:after="0"/>
              <w:rPr>
                <w:sz w:val="20"/>
                <w:szCs w:val="20"/>
                <w:color w:val="auto"/>
              </w:rPr>
            </w:pPr>
            <w:r>
              <w:rPr>
                <w:rFonts w:ascii="Arial" w:cs="Arial" w:eastAsia="Arial" w:hAnsi="Arial"/>
                <w:sz w:val="18"/>
                <w:szCs w:val="18"/>
                <w:color w:val="auto"/>
              </w:rPr>
              <w:t>Compensation Subject to Policy</w:t>
            </w:r>
          </w:p>
        </w:tc>
        <w:tc>
          <w:tcPr>
            <w:tcW w:w="3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3</w:t>
            </w:r>
          </w:p>
        </w:tc>
        <w:tc>
          <w:tcPr>
            <w:tcW w:w="7260" w:type="dxa"/>
            <w:vAlign w:val="bottom"/>
          </w:tcPr>
          <w:p>
            <w:pPr>
              <w:ind w:left="220"/>
              <w:spacing w:after="0"/>
              <w:rPr>
                <w:sz w:val="20"/>
                <w:szCs w:val="20"/>
                <w:color w:val="auto"/>
              </w:rPr>
            </w:pPr>
            <w:r>
              <w:rPr>
                <w:rFonts w:ascii="Arial" w:cs="Arial" w:eastAsia="Arial" w:hAnsi="Arial"/>
                <w:sz w:val="18"/>
                <w:szCs w:val="18"/>
                <w:color w:val="auto"/>
              </w:rPr>
              <w:t>Recovery of Compensation</w:t>
            </w:r>
          </w:p>
        </w:tc>
        <w:tc>
          <w:tcPr>
            <w:tcW w:w="3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4</w:t>
            </w:r>
          </w:p>
        </w:tc>
        <w:tc>
          <w:tcPr>
            <w:tcW w:w="7260" w:type="dxa"/>
            <w:vAlign w:val="bottom"/>
          </w:tcPr>
          <w:p>
            <w:pPr>
              <w:ind w:left="220"/>
              <w:spacing w:after="0"/>
              <w:rPr>
                <w:sz w:val="20"/>
                <w:szCs w:val="20"/>
                <w:color w:val="auto"/>
              </w:rPr>
            </w:pPr>
            <w:r>
              <w:rPr>
                <w:rFonts w:ascii="Arial" w:cs="Arial" w:eastAsia="Arial" w:hAnsi="Arial"/>
                <w:sz w:val="18"/>
                <w:szCs w:val="18"/>
                <w:color w:val="auto"/>
              </w:rPr>
              <w:t>Manner of Recovery; Limitation on Duplicative Recovery</w:t>
            </w:r>
          </w:p>
        </w:tc>
        <w:tc>
          <w:tcPr>
            <w:tcW w:w="3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5</w:t>
            </w:r>
          </w:p>
        </w:tc>
        <w:tc>
          <w:tcPr>
            <w:tcW w:w="7260" w:type="dxa"/>
            <w:vAlign w:val="bottom"/>
          </w:tcPr>
          <w:p>
            <w:pPr>
              <w:ind w:left="220"/>
              <w:spacing w:after="0"/>
              <w:rPr>
                <w:sz w:val="20"/>
                <w:szCs w:val="20"/>
                <w:color w:val="auto"/>
              </w:rPr>
            </w:pPr>
            <w:r>
              <w:rPr>
                <w:rFonts w:ascii="Arial" w:cs="Arial" w:eastAsia="Arial" w:hAnsi="Arial"/>
                <w:sz w:val="18"/>
                <w:szCs w:val="18"/>
                <w:color w:val="auto"/>
              </w:rPr>
              <w:t>Administration</w:t>
            </w:r>
          </w:p>
        </w:tc>
        <w:tc>
          <w:tcPr>
            <w:tcW w:w="3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6</w:t>
            </w:r>
          </w:p>
        </w:tc>
        <w:tc>
          <w:tcPr>
            <w:tcW w:w="726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3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7</w:t>
            </w:r>
          </w:p>
        </w:tc>
        <w:tc>
          <w:tcPr>
            <w:tcW w:w="7260" w:type="dxa"/>
            <w:vAlign w:val="bottom"/>
          </w:tcPr>
          <w:p>
            <w:pPr>
              <w:ind w:left="220"/>
              <w:spacing w:after="0"/>
              <w:rPr>
                <w:sz w:val="20"/>
                <w:szCs w:val="20"/>
                <w:color w:val="auto"/>
              </w:rPr>
            </w:pPr>
            <w:r>
              <w:rPr>
                <w:rFonts w:ascii="Arial" w:cs="Arial" w:eastAsia="Arial" w:hAnsi="Arial"/>
                <w:sz w:val="18"/>
                <w:szCs w:val="18"/>
                <w:color w:val="auto"/>
              </w:rPr>
              <w:t>No Indemnification; No Personal Liability</w:t>
            </w:r>
          </w:p>
        </w:tc>
        <w:tc>
          <w:tcPr>
            <w:tcW w:w="3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8</w:t>
            </w:r>
          </w:p>
        </w:tc>
        <w:tc>
          <w:tcPr>
            <w:tcW w:w="7260" w:type="dxa"/>
            <w:vAlign w:val="bottom"/>
          </w:tcPr>
          <w:p>
            <w:pPr>
              <w:ind w:left="220"/>
              <w:spacing w:after="0"/>
              <w:rPr>
                <w:sz w:val="20"/>
                <w:szCs w:val="20"/>
                <w:color w:val="auto"/>
              </w:rPr>
            </w:pPr>
            <w:r>
              <w:rPr>
                <w:rFonts w:ascii="Arial" w:cs="Arial" w:eastAsia="Arial" w:hAnsi="Arial"/>
                <w:sz w:val="18"/>
                <w:szCs w:val="18"/>
                <w:color w:val="auto"/>
              </w:rPr>
              <w:t>Application; Enforceability</w:t>
            </w:r>
          </w:p>
        </w:tc>
        <w:tc>
          <w:tcPr>
            <w:tcW w:w="3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9</w:t>
            </w:r>
          </w:p>
        </w:tc>
        <w:tc>
          <w:tcPr>
            <w:tcW w:w="726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3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10</w:t>
            </w:r>
          </w:p>
        </w:tc>
        <w:tc>
          <w:tcPr>
            <w:tcW w:w="7260" w:type="dxa"/>
            <w:vAlign w:val="bottom"/>
          </w:tcPr>
          <w:p>
            <w:pPr>
              <w:ind w:left="220"/>
              <w:spacing w:after="0"/>
              <w:rPr>
                <w:sz w:val="20"/>
                <w:szCs w:val="20"/>
                <w:color w:val="auto"/>
              </w:rPr>
            </w:pPr>
            <w:r>
              <w:rPr>
                <w:rFonts w:ascii="Arial" w:cs="Arial" w:eastAsia="Arial" w:hAnsi="Arial"/>
                <w:sz w:val="18"/>
                <w:szCs w:val="18"/>
                <w:color w:val="auto"/>
              </w:rPr>
              <w:t>Amendment and Termination</w:t>
            </w:r>
          </w:p>
        </w:tc>
        <w:tc>
          <w:tcPr>
            <w:tcW w:w="3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11</w:t>
            </w:r>
          </w:p>
        </w:tc>
        <w:tc>
          <w:tcPr>
            <w:tcW w:w="726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3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3"/>
        </w:trPr>
        <w:tc>
          <w:tcPr>
            <w:tcW w:w="460" w:type="dxa"/>
            <w:vAlign w:val="bottom"/>
          </w:tcPr>
          <w:p>
            <w:pPr>
              <w:ind w:left="20"/>
              <w:spacing w:after="0"/>
              <w:rPr>
                <w:sz w:val="20"/>
                <w:szCs w:val="20"/>
                <w:color w:val="auto"/>
              </w:rPr>
            </w:pPr>
            <w:r>
              <w:rPr>
                <w:rFonts w:ascii="Arial" w:cs="Arial" w:eastAsia="Arial" w:hAnsi="Arial"/>
                <w:sz w:val="18"/>
                <w:szCs w:val="18"/>
                <w:color w:val="auto"/>
              </w:rPr>
              <w:t>12</w:t>
            </w:r>
          </w:p>
        </w:tc>
        <w:tc>
          <w:tcPr>
            <w:tcW w:w="7260" w:type="dxa"/>
            <w:vAlign w:val="bottom"/>
          </w:tcPr>
          <w:p>
            <w:pPr>
              <w:ind w:left="220"/>
              <w:spacing w:after="0"/>
              <w:rPr>
                <w:sz w:val="20"/>
                <w:szCs w:val="20"/>
                <w:color w:val="auto"/>
              </w:rPr>
            </w:pPr>
            <w:r>
              <w:rPr>
                <w:rFonts w:ascii="Arial" w:cs="Arial" w:eastAsia="Arial" w:hAnsi="Arial"/>
                <w:sz w:val="18"/>
                <w:szCs w:val="18"/>
                <w:color w:val="auto"/>
              </w:rPr>
              <w:t>Change Log</w:t>
            </w:r>
          </w:p>
        </w:tc>
        <w:tc>
          <w:tcPr>
            <w:tcW w:w="3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294"/>
        </w:trPr>
        <w:tc>
          <w:tcPr>
            <w:tcW w:w="46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7" w:name="page328"/>
    <w:bookmarkEnd w:id="327"/>
    <w:p>
      <w:pPr>
        <w:ind w:right="160"/>
        <w:spacing w:after="0" w:line="252" w:lineRule="auto"/>
        <w:rPr>
          <w:sz w:val="20"/>
          <w:szCs w:val="20"/>
          <w:color w:val="auto"/>
        </w:rPr>
      </w:pPr>
      <w:r>
        <w:rPr>
          <w:rFonts w:ascii="Arial" w:cs="Arial" w:eastAsia="Arial" w:hAnsi="Arial"/>
          <w:sz w:val="18"/>
          <w:szCs w:val="18"/>
          <w:color w:val="auto"/>
        </w:rPr>
        <w:t>Ascendis Pharma A/S (the “Company”) has adopted this Policy for Recovery of Erroneously Awarded Compensation (the “Policy”), effective as of November 3, 2023 (the “Effective Date”). Capitalized terms used in this Policy but not otherwise defined in the text of this Policy are defined in Section 11.</w:t>
      </w:r>
    </w:p>
    <w:p>
      <w:pPr>
        <w:spacing w:after="0" w:line="363" w:lineRule="exact"/>
        <w:rPr>
          <w:sz w:val="20"/>
          <w:szCs w:val="20"/>
          <w:color w:val="auto"/>
        </w:rPr>
      </w:pPr>
    </w:p>
    <w:p>
      <w:pPr>
        <w:ind w:left="480" w:hanging="472"/>
        <w:spacing w:after="0"/>
        <w:tabs>
          <w:tab w:leader="none" w:pos="480" w:val="left"/>
        </w:tabs>
        <w:numPr>
          <w:ilvl w:val="0"/>
          <w:numId w:val="223"/>
        </w:numPr>
        <w:rPr>
          <w:rFonts w:ascii="Arial" w:cs="Arial" w:eastAsia="Arial" w:hAnsi="Arial"/>
          <w:sz w:val="22"/>
          <w:szCs w:val="22"/>
          <w:color w:val="008EB0"/>
        </w:rPr>
      </w:pPr>
      <w:r>
        <w:rPr>
          <w:rFonts w:ascii="Arial" w:cs="Arial" w:eastAsia="Arial" w:hAnsi="Arial"/>
          <w:sz w:val="22"/>
          <w:szCs w:val="22"/>
          <w:color w:val="008EB0"/>
        </w:rPr>
        <w:t>Persons Subject to Policy</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Policy shall apply to current and former Officers of the Company. Each Officer shall be required to sign an Acknowledgement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363" w:lineRule="exact"/>
        <w:rPr>
          <w:sz w:val="20"/>
          <w:szCs w:val="20"/>
          <w:color w:val="auto"/>
        </w:rPr>
      </w:pPr>
    </w:p>
    <w:p>
      <w:pPr>
        <w:ind w:left="480" w:hanging="472"/>
        <w:spacing w:after="0"/>
        <w:tabs>
          <w:tab w:leader="none" w:pos="480" w:val="left"/>
        </w:tabs>
        <w:numPr>
          <w:ilvl w:val="0"/>
          <w:numId w:val="224"/>
        </w:numPr>
        <w:rPr>
          <w:rFonts w:ascii="Arial" w:cs="Arial" w:eastAsia="Arial" w:hAnsi="Arial"/>
          <w:sz w:val="22"/>
          <w:szCs w:val="22"/>
          <w:color w:val="008EB0"/>
        </w:rPr>
      </w:pPr>
      <w:r>
        <w:rPr>
          <w:rFonts w:ascii="Arial" w:cs="Arial" w:eastAsia="Arial" w:hAnsi="Arial"/>
          <w:sz w:val="22"/>
          <w:szCs w:val="22"/>
          <w:color w:val="008EB0"/>
        </w:rPr>
        <w:t>Compensation Subject to Policy</w:t>
      </w:r>
    </w:p>
    <w:p>
      <w:pPr>
        <w:spacing w:after="0" w:line="104"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353" w:lineRule="exact"/>
        <w:rPr>
          <w:sz w:val="20"/>
          <w:szCs w:val="20"/>
          <w:color w:val="auto"/>
        </w:rPr>
      </w:pPr>
    </w:p>
    <w:p>
      <w:pPr>
        <w:ind w:left="480" w:hanging="472"/>
        <w:spacing w:after="0"/>
        <w:tabs>
          <w:tab w:leader="none" w:pos="480" w:val="left"/>
        </w:tabs>
        <w:numPr>
          <w:ilvl w:val="0"/>
          <w:numId w:val="225"/>
        </w:numPr>
        <w:rPr>
          <w:rFonts w:ascii="Arial" w:cs="Arial" w:eastAsia="Arial" w:hAnsi="Arial"/>
          <w:sz w:val="22"/>
          <w:szCs w:val="22"/>
          <w:color w:val="008EB0"/>
        </w:rPr>
      </w:pPr>
      <w:r>
        <w:rPr>
          <w:rFonts w:ascii="Arial" w:cs="Arial" w:eastAsia="Arial" w:hAnsi="Arial"/>
          <w:sz w:val="22"/>
          <w:szCs w:val="22"/>
          <w:color w:val="008EB0"/>
        </w:rPr>
        <w:t>Recovery of Compensation</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373" w:lineRule="exact"/>
        <w:rPr>
          <w:sz w:val="20"/>
          <w:szCs w:val="20"/>
          <w:color w:val="auto"/>
        </w:rPr>
      </w:pPr>
    </w:p>
    <w:p>
      <w:pPr>
        <w:ind w:left="480" w:hanging="472"/>
        <w:spacing w:after="0"/>
        <w:tabs>
          <w:tab w:leader="none" w:pos="480" w:val="left"/>
        </w:tabs>
        <w:numPr>
          <w:ilvl w:val="0"/>
          <w:numId w:val="226"/>
        </w:numPr>
        <w:rPr>
          <w:rFonts w:ascii="Arial" w:cs="Arial" w:eastAsia="Arial" w:hAnsi="Arial"/>
          <w:sz w:val="22"/>
          <w:szCs w:val="22"/>
          <w:color w:val="008EB0"/>
        </w:rPr>
      </w:pPr>
      <w:r>
        <w:rPr>
          <w:rFonts w:ascii="Arial" w:cs="Arial" w:eastAsia="Arial" w:hAnsi="Arial"/>
          <w:sz w:val="22"/>
          <w:szCs w:val="22"/>
          <w:color w:val="008EB0"/>
        </w:rPr>
        <w:t>Manner of Recovery; Limitation on Duplicative Recovery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including American Depositary Shares delivered in respect of the Erroneously Awarded Compensation, the cash equivalent value of such American Depositary Shares and/or any proceeds in respect of sales of such American Depositary Shares, and, to the extent permitted by law, an offset of the Erroneously Awarded Compensation against other compensation payable by the Company or an affiliate of the Company to such person.</w:t>
      </w:r>
    </w:p>
    <w:p>
      <w:pPr>
        <w:spacing w:after="0" w:line="16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8355"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28" w:name="page329"/>
    <w:bookmarkEnd w:id="328"/>
    <w:p>
      <w:pPr>
        <w:spacing w:after="0" w:line="270" w:lineRule="auto"/>
        <w:rPr>
          <w:sz w:val="20"/>
          <w:szCs w:val="20"/>
          <w:color w:val="auto"/>
        </w:rPr>
      </w:pPr>
      <w:r>
        <w:rPr>
          <w:rFonts w:ascii="Arial" w:cs="Arial" w:eastAsia="Arial" w:hAnsi="Arial"/>
          <w:sz w:val="18"/>
          <w:szCs w:val="18"/>
          <w:color w:val="auto"/>
        </w:rPr>
        <w:t>Erroneously Awarded Compensation will be credited to the amount of Erroneously Awarded Compensation required to be recovered pursuant to this Policy from such person.</w:t>
      </w:r>
    </w:p>
    <w:p>
      <w:pPr>
        <w:spacing w:after="0" w:line="347" w:lineRule="exact"/>
        <w:rPr>
          <w:sz w:val="20"/>
          <w:szCs w:val="20"/>
          <w:color w:val="auto"/>
        </w:rPr>
      </w:pPr>
    </w:p>
    <w:p>
      <w:pPr>
        <w:ind w:left="480" w:hanging="472"/>
        <w:spacing w:after="0"/>
        <w:tabs>
          <w:tab w:leader="none" w:pos="480" w:val="left"/>
        </w:tabs>
        <w:numPr>
          <w:ilvl w:val="0"/>
          <w:numId w:val="227"/>
        </w:numPr>
        <w:rPr>
          <w:rFonts w:ascii="Arial" w:cs="Arial" w:eastAsia="Arial" w:hAnsi="Arial"/>
          <w:sz w:val="22"/>
          <w:szCs w:val="22"/>
          <w:color w:val="008EB0"/>
        </w:rPr>
      </w:pPr>
      <w:r>
        <w:rPr>
          <w:rFonts w:ascii="Arial" w:cs="Arial" w:eastAsia="Arial" w:hAnsi="Arial"/>
          <w:sz w:val="22"/>
          <w:szCs w:val="22"/>
          <w:color w:val="008EB0"/>
        </w:rPr>
        <w:t>Administration</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This Policy shall be administered, interpreted and construed by the Committee, which is authorized to make all determinations necessary, appropriate or advisable for such purpose. The Board of Directors of the Company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w:t>
      </w:r>
    </w:p>
    <w:p>
      <w:pPr>
        <w:spacing w:after="0" w:line="375" w:lineRule="exact"/>
        <w:rPr>
          <w:sz w:val="20"/>
          <w:szCs w:val="20"/>
          <w:color w:val="auto"/>
        </w:rPr>
      </w:pPr>
    </w:p>
    <w:p>
      <w:pPr>
        <w:ind w:left="480" w:hanging="472"/>
        <w:spacing w:after="0"/>
        <w:tabs>
          <w:tab w:leader="none" w:pos="480" w:val="left"/>
        </w:tabs>
        <w:numPr>
          <w:ilvl w:val="0"/>
          <w:numId w:val="228"/>
        </w:numPr>
        <w:rPr>
          <w:rFonts w:ascii="Arial" w:cs="Arial" w:eastAsia="Arial" w:hAnsi="Arial"/>
          <w:sz w:val="22"/>
          <w:szCs w:val="22"/>
          <w:color w:val="008EB0"/>
        </w:rPr>
      </w:pPr>
      <w:r>
        <w:rPr>
          <w:rFonts w:ascii="Arial" w:cs="Arial" w:eastAsia="Arial" w:hAnsi="Arial"/>
          <w:sz w:val="22"/>
          <w:szCs w:val="22"/>
          <w:color w:val="008EB0"/>
        </w:rPr>
        <w:t>Interpretation</w:t>
      </w:r>
    </w:p>
    <w:p>
      <w:pPr>
        <w:spacing w:after="0" w:line="10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363" w:lineRule="exact"/>
        <w:rPr>
          <w:sz w:val="20"/>
          <w:szCs w:val="20"/>
          <w:color w:val="auto"/>
        </w:rPr>
      </w:pPr>
    </w:p>
    <w:p>
      <w:pPr>
        <w:ind w:left="480" w:hanging="472"/>
        <w:spacing w:after="0"/>
        <w:tabs>
          <w:tab w:leader="none" w:pos="480" w:val="left"/>
        </w:tabs>
        <w:numPr>
          <w:ilvl w:val="0"/>
          <w:numId w:val="229"/>
        </w:numPr>
        <w:rPr>
          <w:rFonts w:ascii="Arial" w:cs="Arial" w:eastAsia="Arial" w:hAnsi="Arial"/>
          <w:sz w:val="22"/>
          <w:szCs w:val="22"/>
          <w:color w:val="008EB0"/>
        </w:rPr>
      </w:pPr>
      <w:r>
        <w:rPr>
          <w:rFonts w:ascii="Arial" w:cs="Arial" w:eastAsia="Arial" w:hAnsi="Arial"/>
          <w:sz w:val="22"/>
          <w:szCs w:val="22"/>
          <w:color w:val="008EB0"/>
        </w:rPr>
        <w:t>No Indemnification; No Personal Liability</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shall be fully indemnified by the Company to the fullest extent under applicable law and Company policy with respect to any actions taken under this Policy. The foregoing sentence shall not limit any other rights to indemnification of the members of the Board under applicable law or Company policy.</w:t>
      </w:r>
    </w:p>
    <w:p>
      <w:pPr>
        <w:spacing w:after="0" w:line="373" w:lineRule="exact"/>
        <w:rPr>
          <w:sz w:val="20"/>
          <w:szCs w:val="20"/>
          <w:color w:val="auto"/>
        </w:rPr>
      </w:pPr>
    </w:p>
    <w:p>
      <w:pPr>
        <w:ind w:left="480" w:hanging="472"/>
        <w:spacing w:after="0"/>
        <w:tabs>
          <w:tab w:leader="none" w:pos="480" w:val="left"/>
        </w:tabs>
        <w:numPr>
          <w:ilvl w:val="0"/>
          <w:numId w:val="230"/>
        </w:numPr>
        <w:rPr>
          <w:rFonts w:ascii="Arial" w:cs="Arial" w:eastAsia="Arial" w:hAnsi="Arial"/>
          <w:sz w:val="22"/>
          <w:szCs w:val="22"/>
          <w:color w:val="008EB0"/>
        </w:rPr>
      </w:pPr>
      <w:r>
        <w:rPr>
          <w:rFonts w:ascii="Arial" w:cs="Arial" w:eastAsia="Arial" w:hAnsi="Arial"/>
          <w:sz w:val="22"/>
          <w:szCs w:val="22"/>
          <w:color w:val="008EB0"/>
        </w:rPr>
        <w:t>Application; Enforceability</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“Other Recovery Arrangements”). The remedy specified in this Policy shall not be exclusive and shall be in addition to every other right or remedy at law or in equity that may be available to the Company or an affiliate of the Company.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835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29" w:name="page330"/>
    <w:bookmarkEnd w:id="329"/>
    <w:p>
      <w:pPr>
        <w:ind w:left="480" w:hanging="472"/>
        <w:spacing w:after="0"/>
        <w:tabs>
          <w:tab w:leader="none" w:pos="480" w:val="left"/>
        </w:tabs>
        <w:numPr>
          <w:ilvl w:val="0"/>
          <w:numId w:val="231"/>
        </w:numPr>
        <w:rPr>
          <w:rFonts w:ascii="Arial" w:cs="Arial" w:eastAsia="Arial" w:hAnsi="Arial"/>
          <w:sz w:val="22"/>
          <w:szCs w:val="22"/>
          <w:color w:val="008EB0"/>
        </w:rPr>
      </w:pPr>
      <w:r>
        <w:rPr>
          <w:rFonts w:ascii="Arial" w:cs="Arial" w:eastAsia="Arial" w:hAnsi="Arial"/>
          <w:sz w:val="22"/>
          <w:szCs w:val="22"/>
          <w:color w:val="008EB0"/>
        </w:rPr>
        <w:t>Severability</w:t>
      </w:r>
    </w:p>
    <w:p>
      <w:pPr>
        <w:spacing w:after="0" w:line="104"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36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008EB0"/>
        </w:rPr>
        <w:t>10</w:t>
        <w:tab/>
        <w:t>Amendment and Termination</w:t>
      </w:r>
    </w:p>
    <w:p>
      <w:pPr>
        <w:spacing w:after="0" w:line="104" w:lineRule="exact"/>
        <w:rPr>
          <w:sz w:val="20"/>
          <w:szCs w:val="20"/>
          <w:color w:val="auto"/>
        </w:rPr>
      </w:pPr>
    </w:p>
    <w:p>
      <w:pPr>
        <w:jc w:val="both"/>
        <w:ind w:right="560"/>
        <w:spacing w:after="0" w:line="252" w:lineRule="auto"/>
        <w:rPr>
          <w:sz w:val="20"/>
          <w:szCs w:val="20"/>
          <w:color w:val="auto"/>
        </w:rPr>
      </w:pPr>
      <w:r>
        <w:rPr>
          <w:rFonts w:ascii="Arial" w:cs="Arial" w:eastAsia="Arial" w:hAnsi="Arial"/>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36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008EB0"/>
        </w:rPr>
        <w:t>11</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2011680" cy="37630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9">
                      <a:extLst>
                        <a:ext uri="{28A0092B-C50C-407E-A947-70E740481C1C}"/>
                      </a:extLst>
                    </a:blip>
                    <a:srcRect/>
                    <a:stretch>
                      <a:fillRect/>
                    </a:stretch>
                  </pic:blipFill>
                  <pic:spPr bwMode="auto">
                    <a:xfrm>
                      <a:off x="0" y="0"/>
                      <a:ext cx="2011680" cy="3763010"/>
                    </a:xfrm>
                    <a:prstGeom prst="rect">
                      <a:avLst/>
                    </a:prstGeom>
                    <a:noFill/>
                  </pic:spPr>
                </pic:pic>
              </a:graphicData>
            </a:graphic>
          </wp:anchor>
        </w:drawing>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3180" w:type="dxa"/>
            <w:vAlign w:val="bottom"/>
            <w:tcBorders>
              <w:left w:val="single" w:sz="8" w:color="008EB0"/>
              <w:bottom w:val="single" w:sz="8" w:color="008EB0"/>
              <w:right w:val="single" w:sz="8" w:color="008EB0"/>
            </w:tcBorders>
            <w:shd w:val="clear" w:color="auto" w:fill="008EB0"/>
          </w:tcPr>
          <w:p>
            <w:pPr>
              <w:ind w:left="80"/>
              <w:spacing w:after="0"/>
              <w:rPr>
                <w:sz w:val="20"/>
                <w:szCs w:val="20"/>
                <w:color w:val="auto"/>
              </w:rPr>
            </w:pPr>
            <w:r>
              <w:rPr>
                <w:rFonts w:ascii="Arial" w:cs="Arial" w:eastAsia="Arial" w:hAnsi="Arial"/>
                <w:sz w:val="18"/>
                <w:szCs w:val="18"/>
                <w:b w:val="1"/>
                <w:bCs w:val="1"/>
                <w:color w:val="FFFFFF"/>
              </w:rPr>
              <w:t>Term</w:t>
            </w:r>
          </w:p>
        </w:tc>
        <w:tc>
          <w:tcPr>
            <w:tcW w:w="8060" w:type="dxa"/>
            <w:vAlign w:val="bottom"/>
            <w:tcBorders>
              <w:bottom w:val="single" w:sz="8" w:color="008EB0"/>
              <w:right w:val="single" w:sz="8" w:color="008EB0"/>
            </w:tcBorders>
            <w:shd w:val="clear" w:color="auto" w:fill="008EB0"/>
          </w:tcPr>
          <w:p>
            <w:pPr>
              <w:ind w:left="20"/>
              <w:spacing w:after="0"/>
              <w:rPr>
                <w:sz w:val="20"/>
                <w:szCs w:val="20"/>
                <w:color w:val="auto"/>
              </w:rPr>
            </w:pPr>
            <w:r>
              <w:rPr>
                <w:rFonts w:ascii="Arial" w:cs="Arial" w:eastAsia="Arial" w:hAnsi="Arial"/>
                <w:sz w:val="18"/>
                <w:szCs w:val="18"/>
                <w:b w:val="1"/>
                <w:bCs w:val="1"/>
                <w:color w:val="FFFFFF"/>
              </w:rPr>
              <w:t>Definition</w:t>
            </w:r>
          </w:p>
        </w:tc>
      </w:tr>
      <w:tr>
        <w:trPr>
          <w:trHeight w:val="203"/>
        </w:trPr>
        <w:tc>
          <w:tcPr>
            <w:tcW w:w="3180" w:type="dxa"/>
            <w:vAlign w:val="bottom"/>
            <w:tcBorders>
              <w:left w:val="single" w:sz="8" w:color="008EB0"/>
              <w:right w:val="single" w:sz="8" w:color="008EB0"/>
            </w:tcBorders>
          </w:tcPr>
          <w:p>
            <w:pPr>
              <w:ind w:left="80"/>
              <w:spacing w:after="0" w:line="203" w:lineRule="exact"/>
              <w:rPr>
                <w:sz w:val="20"/>
                <w:szCs w:val="20"/>
                <w:color w:val="auto"/>
              </w:rPr>
            </w:pPr>
            <w:r>
              <w:rPr>
                <w:rFonts w:ascii="Arial" w:cs="Arial" w:eastAsia="Arial" w:hAnsi="Arial"/>
                <w:sz w:val="18"/>
                <w:szCs w:val="18"/>
                <w:b w:val="1"/>
                <w:bCs w:val="1"/>
                <w:color w:val="auto"/>
              </w:rPr>
              <w:t>Applicable Rules</w:t>
            </w:r>
          </w:p>
        </w:tc>
        <w:tc>
          <w:tcPr>
            <w:tcW w:w="8060" w:type="dxa"/>
            <w:vAlign w:val="bottom"/>
            <w:tcBorders>
              <w:right w:val="single" w:sz="8" w:color="008EB0"/>
            </w:tcBorders>
          </w:tcPr>
          <w:p>
            <w:pPr>
              <w:ind w:left="40"/>
              <w:spacing w:after="0" w:line="203" w:lineRule="exact"/>
              <w:rPr>
                <w:sz w:val="20"/>
                <w:szCs w:val="20"/>
                <w:color w:val="auto"/>
              </w:rPr>
            </w:pPr>
            <w:r>
              <w:rPr>
                <w:rFonts w:ascii="Arial" w:cs="Arial" w:eastAsia="Arial" w:hAnsi="Arial"/>
                <w:sz w:val="18"/>
                <w:szCs w:val="18"/>
                <w:color w:val="auto"/>
              </w:rPr>
              <w:t>Means Section 10D of the Exchange Act, Rule 10D-1 promulgated thereunder, the listing rules of</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the national securities exchange or association on which the Company’s securities are listed, and</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any applicable rules, standards or other guidance adopted by the Securities and Exchange</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Commission or any national securities exchange or association on which the Company’s securities</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are listed.</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17"/>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Committee</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Means the committee of the Board responsible for executive compensation decisions comprised</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solely of independent directors (as determined under the Applicable Rules), or in the absence of</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such a committee, a majority of the independent directors serving on the Board.</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17"/>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Erroneously Awarded</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Means the amount of Incentive-Based Compensation received by a current or former Officer that</w:t>
            </w:r>
          </w:p>
        </w:tc>
      </w:tr>
      <w:tr>
        <w:trPr>
          <w:trHeight w:val="202"/>
        </w:trPr>
        <w:tc>
          <w:tcPr>
            <w:tcW w:w="3180" w:type="dxa"/>
            <w:vAlign w:val="bottom"/>
            <w:tcBorders>
              <w:left w:val="single" w:sz="8" w:color="008EB0"/>
              <w:right w:val="single" w:sz="8" w:color="008EB0"/>
            </w:tcBorders>
          </w:tcPr>
          <w:p>
            <w:pPr>
              <w:ind w:left="80"/>
              <w:spacing w:after="0" w:line="201" w:lineRule="exact"/>
              <w:rPr>
                <w:sz w:val="20"/>
                <w:szCs w:val="20"/>
                <w:color w:val="auto"/>
              </w:rPr>
            </w:pPr>
            <w:r>
              <w:rPr>
                <w:rFonts w:ascii="Arial" w:cs="Arial" w:eastAsia="Arial" w:hAnsi="Arial"/>
                <w:sz w:val="18"/>
                <w:szCs w:val="18"/>
                <w:b w:val="1"/>
                <w:bCs w:val="1"/>
                <w:color w:val="auto"/>
              </w:rPr>
              <w:t>Compensation</w:t>
            </w: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exceeds the amount of Incentive-Based Compensation that would have been received by such</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current or former Officer based on a restated Financial Reporting Measure, as determined on a pre-</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tax basis in accordance with the Applicable Rules.</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69"/>
        </w:trPr>
        <w:tc>
          <w:tcPr>
            <w:tcW w:w="3180" w:type="dxa"/>
            <w:vAlign w:val="bottom"/>
            <w:tcBorders>
              <w:left w:val="single" w:sz="8" w:color="008EB0"/>
              <w:bottom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Exchange Act</w:t>
            </w:r>
          </w:p>
        </w:tc>
        <w:tc>
          <w:tcPr>
            <w:tcW w:w="8060" w:type="dxa"/>
            <w:vAlign w:val="bottom"/>
            <w:tcBorders>
              <w:bottom w:val="single" w:sz="8" w:color="008EB0"/>
              <w:right w:val="single" w:sz="8" w:color="008EB0"/>
            </w:tcBorders>
          </w:tcPr>
          <w:p>
            <w:pPr>
              <w:ind w:left="40"/>
              <w:spacing w:after="0"/>
              <w:rPr>
                <w:sz w:val="20"/>
                <w:szCs w:val="20"/>
                <w:color w:val="auto"/>
              </w:rPr>
            </w:pPr>
            <w:r>
              <w:rPr>
                <w:rFonts w:ascii="Arial" w:cs="Arial" w:eastAsia="Arial" w:hAnsi="Arial"/>
                <w:sz w:val="18"/>
                <w:szCs w:val="18"/>
                <w:color w:val="auto"/>
              </w:rPr>
              <w:t>Means the Securities Exchange Act of 1934, as amended.</w:t>
            </w:r>
          </w:p>
        </w:tc>
      </w:tr>
      <w:tr>
        <w:trPr>
          <w:trHeight w:val="223"/>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Financial Reporting Measure</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w w:val="99"/>
              </w:rPr>
              <w:t>Means any measure determined and presented in accordance with the accounting principles used in</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preparing the Company’s financial statements, and any measures derived wholly or in part from</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such measures, including GAAP, IFRS and non-GAAP/IFRS financial measures, as well as stock or</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share price and total equity holder return.</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69"/>
        </w:trPr>
        <w:tc>
          <w:tcPr>
            <w:tcW w:w="3180" w:type="dxa"/>
            <w:vAlign w:val="bottom"/>
            <w:tcBorders>
              <w:left w:val="single" w:sz="8" w:color="008EB0"/>
              <w:bottom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GAAP</w:t>
            </w:r>
          </w:p>
        </w:tc>
        <w:tc>
          <w:tcPr>
            <w:tcW w:w="8060" w:type="dxa"/>
            <w:vAlign w:val="bottom"/>
            <w:tcBorders>
              <w:bottom w:val="single" w:sz="8" w:color="008EB0"/>
              <w:right w:val="single" w:sz="8" w:color="008EB0"/>
            </w:tcBorders>
          </w:tcPr>
          <w:p>
            <w:pPr>
              <w:ind w:left="40"/>
              <w:spacing w:after="0"/>
              <w:rPr>
                <w:sz w:val="20"/>
                <w:szCs w:val="20"/>
                <w:color w:val="auto"/>
              </w:rPr>
            </w:pPr>
            <w:r>
              <w:rPr>
                <w:rFonts w:ascii="Arial" w:cs="Arial" w:eastAsia="Arial" w:hAnsi="Arial"/>
                <w:sz w:val="18"/>
                <w:szCs w:val="18"/>
                <w:color w:val="auto"/>
              </w:rPr>
              <w:t>Means United States generally accepted accounting principles.</w:t>
            </w:r>
          </w:p>
        </w:tc>
      </w:tr>
      <w:tr>
        <w:trPr>
          <w:trHeight w:val="223"/>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IFRS</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Means international financial reporting standards as adopted by the International Accounting</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Standards Board and as adopted by the European Union.</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17"/>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Impracticable</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Means (a) the direct costs paid to third parties to assist in enforcing recovery would exceed the</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Erroneously Awarded Compensation; provided that the Company has (i) made reasonable attempts</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to recover the Erroneously Awarded Compensation, (ii) documented such attempt(s), and (iii)</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provided</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18"/>
        </w:trPr>
        <w:tc>
          <w:tcPr>
            <w:tcW w:w="3180" w:type="dxa"/>
            <w:vAlign w:val="bottom"/>
          </w:tcPr>
          <w:p>
            <w:pPr>
              <w:ind w:left="760"/>
              <w:spacing w:after="0"/>
              <w:rPr>
                <w:sz w:val="20"/>
                <w:szCs w:val="20"/>
                <w:color w:val="auto"/>
              </w:rPr>
            </w:pPr>
            <w:r>
              <w:rPr>
                <w:rFonts w:ascii="Arial" w:cs="Arial" w:eastAsia="Arial" w:hAnsi="Arial"/>
                <w:sz w:val="17"/>
                <w:szCs w:val="17"/>
                <w:color w:val="auto"/>
              </w:rPr>
              <w:t>4</w:t>
            </w:r>
          </w:p>
        </w:tc>
        <w:tc>
          <w:tcPr>
            <w:tcW w:w="8060" w:type="dxa"/>
            <w:vAlign w:val="bottom"/>
          </w:tcPr>
          <w:p>
            <w:pPr>
              <w:spacing w:after="0"/>
              <w:rPr>
                <w:sz w:val="18"/>
                <w:szCs w:val="18"/>
                <w:color w:val="auto"/>
              </w:rPr>
            </w:pPr>
          </w:p>
        </w:tc>
      </w:tr>
      <w:tr>
        <w:trPr>
          <w:trHeight w:val="523"/>
        </w:trPr>
        <w:tc>
          <w:tcPr>
            <w:tcW w:w="318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0" w:name="page331"/>
    <w:bookmarkEnd w:id="330"/>
    <w:tbl>
      <w:tblPr>
        <w:tblLayout w:type="fixed"/>
        <w:tblInd w:w="10" w:type="dxa"/>
        <w:tblCellMar>
          <w:top w:w="0" w:type="dxa"/>
          <w:left w:w="0" w:type="dxa"/>
          <w:bottom w:w="0" w:type="dxa"/>
          <w:right w:w="0" w:type="dxa"/>
        </w:tblCellMar>
      </w:tblPr>
      <w:tr>
        <w:trPr>
          <w:trHeight w:val="309"/>
        </w:trPr>
        <w:tc>
          <w:tcPr>
            <w:tcW w:w="3180" w:type="dxa"/>
            <w:vAlign w:val="bottom"/>
            <w:tcBorders>
              <w:left w:val="single" w:sz="8" w:color="008EB0"/>
              <w:bottom w:val="single" w:sz="8" w:color="008EB0"/>
              <w:right w:val="single" w:sz="8" w:color="008EB0"/>
            </w:tcBorders>
            <w:shd w:val="clear" w:color="auto" w:fill="008EB0"/>
          </w:tcPr>
          <w:p>
            <w:pPr>
              <w:ind w:left="80"/>
              <w:spacing w:after="0"/>
              <w:rPr>
                <w:sz w:val="20"/>
                <w:szCs w:val="20"/>
                <w:color w:val="auto"/>
              </w:rPr>
            </w:pPr>
            <w:r>
              <w:rPr>
                <w:rFonts w:ascii="Arial" w:cs="Arial" w:eastAsia="Arial" w:hAnsi="Arial"/>
                <w:sz w:val="18"/>
                <w:szCs w:val="18"/>
                <w:b w:val="1"/>
                <w:bCs w:val="1"/>
                <w:color w:val="FFFFFF"/>
              </w:rPr>
              <w:t>Term</w:t>
            </w:r>
          </w:p>
        </w:tc>
        <w:tc>
          <w:tcPr>
            <w:tcW w:w="8060" w:type="dxa"/>
            <w:vAlign w:val="bottom"/>
            <w:tcBorders>
              <w:bottom w:val="single" w:sz="8" w:color="008EB0"/>
              <w:right w:val="single" w:sz="8" w:color="008EB0"/>
            </w:tcBorders>
            <w:shd w:val="clear" w:color="auto" w:fill="008EB0"/>
          </w:tcPr>
          <w:p>
            <w:pPr>
              <w:ind w:left="20"/>
              <w:spacing w:after="0"/>
              <w:rPr>
                <w:sz w:val="20"/>
                <w:szCs w:val="20"/>
                <w:color w:val="auto"/>
              </w:rPr>
            </w:pPr>
            <w:r>
              <w:rPr>
                <w:rFonts w:ascii="Arial" w:cs="Arial" w:eastAsia="Arial" w:hAnsi="Arial"/>
                <w:sz w:val="18"/>
                <w:szCs w:val="18"/>
                <w:b w:val="1"/>
                <w:bCs w:val="1"/>
                <w:color w:val="FFFFFF"/>
              </w:rPr>
              <w:t>Definition</w:t>
            </w:r>
          </w:p>
        </w:tc>
      </w:tr>
      <w:tr>
        <w:trPr>
          <w:trHeight w:val="203"/>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3" w:lineRule="exact"/>
              <w:rPr>
                <w:sz w:val="20"/>
                <w:szCs w:val="20"/>
                <w:color w:val="auto"/>
              </w:rPr>
            </w:pPr>
            <w:r>
              <w:rPr>
                <w:rFonts w:ascii="Arial" w:cs="Arial" w:eastAsia="Arial" w:hAnsi="Arial"/>
                <w:sz w:val="18"/>
                <w:szCs w:val="18"/>
                <w:color w:val="auto"/>
              </w:rPr>
              <w:t>such documentation to the relevant listing exchange or association, (b) to the extent permitted by</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the Applicable Rules, the recovery would violate the Company’s home country laws pursuant to an</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opinion of home country counsel; provided that the Company has (i) obtained an opinion of home</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country counsel, acceptable to the relevant listing exchange or association, that recovery would</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result in such violation, and (ii) provided such opinion to the relevant listing exchange or association,</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or (c) recovery would likely cause an otherwise tax-qualified retirement plan, under which benefits</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are broadly available to employees of the Company, to fail to meet the requirements of 26 U.S.C.</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401(a)(13) or 26 U.S.C. 411(a) and the regulations thereunder.</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17"/>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Incentive-Based Compensation</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Means, with respect to a Restatement, any compensation that is granted, earned, or vested based</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wholly or in part upon the attainment of one or more Financial Reporting Measures and received by</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a person: (a) after beginning service as an Officer; (b) who served as an Officer at any time during</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the performance period for that compensation; (c) while the issuer has a class of its securities listed</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on a national securities exchange or association; and (d) during the applicable Three-Year Period.</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195"/>
        </w:trPr>
        <w:tc>
          <w:tcPr>
            <w:tcW w:w="3180" w:type="dxa"/>
            <w:vAlign w:val="bottom"/>
            <w:tcBorders>
              <w:left w:val="single" w:sz="8" w:color="008EB0"/>
              <w:right w:val="single" w:sz="8" w:color="008EB0"/>
            </w:tcBorders>
          </w:tcPr>
          <w:p>
            <w:pPr>
              <w:ind w:left="80"/>
              <w:spacing w:after="0" w:line="195" w:lineRule="exact"/>
              <w:rPr>
                <w:sz w:val="20"/>
                <w:szCs w:val="20"/>
                <w:color w:val="auto"/>
              </w:rPr>
            </w:pPr>
            <w:r>
              <w:rPr>
                <w:rFonts w:ascii="Arial" w:cs="Arial" w:eastAsia="Arial" w:hAnsi="Arial"/>
                <w:sz w:val="18"/>
                <w:szCs w:val="18"/>
                <w:b w:val="1"/>
                <w:bCs w:val="1"/>
                <w:color w:val="auto"/>
              </w:rPr>
              <w:t>Officer</w:t>
            </w:r>
          </w:p>
        </w:tc>
        <w:tc>
          <w:tcPr>
            <w:tcW w:w="8060" w:type="dxa"/>
            <w:vAlign w:val="bottom"/>
            <w:tcBorders>
              <w:right w:val="single" w:sz="8" w:color="008EB0"/>
            </w:tcBorders>
          </w:tcPr>
          <w:p>
            <w:pPr>
              <w:ind w:left="40"/>
              <w:spacing w:after="0" w:line="195" w:lineRule="exact"/>
              <w:rPr>
                <w:sz w:val="20"/>
                <w:szCs w:val="20"/>
                <w:color w:val="auto"/>
              </w:rPr>
            </w:pPr>
            <w:r>
              <w:rPr>
                <w:rFonts w:ascii="Arial" w:cs="Arial" w:eastAsia="Arial" w:hAnsi="Arial"/>
                <w:sz w:val="18"/>
                <w:szCs w:val="18"/>
                <w:color w:val="auto"/>
              </w:rPr>
              <w:t>Means each person who serves as an executive officer of the Company, as defined in Rule</w:t>
            </w:r>
          </w:p>
        </w:tc>
      </w:tr>
      <w:tr>
        <w:trPr>
          <w:trHeight w:val="283"/>
        </w:trPr>
        <w:tc>
          <w:tcPr>
            <w:tcW w:w="3180" w:type="dxa"/>
            <w:vAlign w:val="bottom"/>
            <w:tcBorders>
              <w:left w:val="single" w:sz="8" w:color="008EB0"/>
              <w:bottom w:val="single" w:sz="8" w:color="008EB0"/>
              <w:right w:val="single" w:sz="8" w:color="008EB0"/>
            </w:tcBorders>
          </w:tcPr>
          <w:p>
            <w:pPr>
              <w:spacing w:after="0"/>
              <w:rPr>
                <w:sz w:val="24"/>
                <w:szCs w:val="24"/>
                <w:color w:val="auto"/>
              </w:rPr>
            </w:pPr>
          </w:p>
        </w:tc>
        <w:tc>
          <w:tcPr>
            <w:tcW w:w="8060" w:type="dxa"/>
            <w:vAlign w:val="bottom"/>
            <w:tcBorders>
              <w:bottom w:val="single" w:sz="8" w:color="008EB0"/>
              <w:right w:val="single" w:sz="8" w:color="008EB0"/>
            </w:tcBorders>
          </w:tcPr>
          <w:p>
            <w:pPr>
              <w:ind w:left="40"/>
              <w:spacing w:after="0" w:line="207" w:lineRule="exact"/>
              <w:rPr>
                <w:sz w:val="20"/>
                <w:szCs w:val="20"/>
                <w:color w:val="auto"/>
              </w:rPr>
            </w:pPr>
            <w:r>
              <w:rPr>
                <w:rFonts w:ascii="Arial" w:cs="Arial" w:eastAsia="Arial" w:hAnsi="Arial"/>
                <w:sz w:val="18"/>
                <w:szCs w:val="18"/>
                <w:color w:val="auto"/>
              </w:rPr>
              <w:t>10D</w:t>
            </w:r>
            <w:r>
              <w:rPr>
                <w:rFonts w:ascii="MS PGothic" w:cs="MS PGothic" w:eastAsia="MS PGothic" w:hAnsi="MS PGothic"/>
                <w:sz w:val="18"/>
                <w:szCs w:val="18"/>
                <w:color w:val="auto"/>
              </w:rPr>
              <w:t>‑</w:t>
            </w:r>
            <w:r>
              <w:rPr>
                <w:rFonts w:ascii="Arial" w:cs="Arial" w:eastAsia="Arial" w:hAnsi="Arial"/>
                <w:sz w:val="18"/>
                <w:szCs w:val="18"/>
                <w:color w:val="auto"/>
              </w:rPr>
              <w:t>1(d) under the Exchange Act.</w:t>
            </w:r>
          </w:p>
        </w:tc>
      </w:tr>
      <w:tr>
        <w:trPr>
          <w:trHeight w:val="217"/>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Restatement</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Means an accounting restatement to correct the Company’s material noncompliance with any</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financial reporting requirement under securities laws, including restatements that correct an error in</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previously issued financial statements (a) that is material to the previously issued financial</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statements or (b) that would result in a material misstatement if the error were corrected in the</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current period or left uncorrected in the current period.</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217"/>
        </w:trPr>
        <w:tc>
          <w:tcPr>
            <w:tcW w:w="318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b w:val="1"/>
                <w:bCs w:val="1"/>
                <w:color w:val="auto"/>
              </w:rPr>
              <w:t>Three-Year Period</w:t>
            </w: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Means, with respect to a Restatement, the three completed fiscal years immediately preceding the</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date that the Board, a committee of the Board, or the officer or officers of the Company authorized</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to take such action if Board action is not required, concludes, or reasonably should have concluded,</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that the Company is required to prepare such Restatement, or, if earlier, the date on which a court,</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regulator or other legally authorized body directs the Company to prepare such Restatement. The</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w w:val="99"/>
              </w:rPr>
              <w:t>“Three-Year Period” also includes any transition period (that results from a change in the Company’s</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fiscal year) within or immediately following the three completed fiscal years identified in the</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preceding sentence. However, a transition period between the last day of the Company’s previous</w:t>
            </w:r>
          </w:p>
        </w:tc>
      </w:tr>
      <w:tr>
        <w:trPr>
          <w:trHeight w:val="202"/>
        </w:trPr>
        <w:tc>
          <w:tcPr>
            <w:tcW w:w="3180" w:type="dxa"/>
            <w:vAlign w:val="bottom"/>
            <w:tcBorders>
              <w:left w:val="single" w:sz="8" w:color="008EB0"/>
              <w:right w:val="single" w:sz="8" w:color="008EB0"/>
            </w:tcBorders>
          </w:tcPr>
          <w:p>
            <w:pPr>
              <w:spacing w:after="0"/>
              <w:rPr>
                <w:sz w:val="17"/>
                <w:szCs w:val="17"/>
                <w:color w:val="auto"/>
              </w:rPr>
            </w:pPr>
          </w:p>
        </w:tc>
        <w:tc>
          <w:tcPr>
            <w:tcW w:w="8060" w:type="dxa"/>
            <w:vAlign w:val="bottom"/>
            <w:tcBorders>
              <w:right w:val="single" w:sz="8" w:color="008EB0"/>
            </w:tcBorders>
          </w:tcPr>
          <w:p>
            <w:pPr>
              <w:ind w:left="40"/>
              <w:spacing w:after="0" w:line="201" w:lineRule="exact"/>
              <w:rPr>
                <w:sz w:val="20"/>
                <w:szCs w:val="20"/>
                <w:color w:val="auto"/>
              </w:rPr>
            </w:pPr>
            <w:r>
              <w:rPr>
                <w:rFonts w:ascii="Arial" w:cs="Arial" w:eastAsia="Arial" w:hAnsi="Arial"/>
                <w:sz w:val="18"/>
                <w:szCs w:val="18"/>
                <w:color w:val="auto"/>
              </w:rPr>
              <w:t>fiscal year end and the first day of its new fiscal year that comprises a period of nine to 12 months</w:t>
            </w:r>
          </w:p>
        </w:tc>
      </w:tr>
      <w:tr>
        <w:trPr>
          <w:trHeight w:val="238"/>
        </w:trPr>
        <w:tc>
          <w:tcPr>
            <w:tcW w:w="3180" w:type="dxa"/>
            <w:vAlign w:val="bottom"/>
            <w:tcBorders>
              <w:left w:val="single" w:sz="8" w:color="008EB0"/>
              <w:right w:val="single" w:sz="8" w:color="008EB0"/>
            </w:tcBorders>
          </w:tcPr>
          <w:p>
            <w:pPr>
              <w:spacing w:after="0"/>
              <w:rPr>
                <w:sz w:val="20"/>
                <w:szCs w:val="20"/>
                <w:color w:val="auto"/>
              </w:rPr>
            </w:pPr>
          </w:p>
        </w:tc>
        <w:tc>
          <w:tcPr>
            <w:tcW w:w="806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shall be deemed a completed fiscal year.</w:t>
            </w:r>
          </w:p>
        </w:tc>
      </w:tr>
      <w:tr>
        <w:trPr>
          <w:trHeight w:val="23"/>
        </w:trPr>
        <w:tc>
          <w:tcPr>
            <w:tcW w:w="3180" w:type="dxa"/>
            <w:vAlign w:val="bottom"/>
            <w:tcBorders>
              <w:left w:val="single" w:sz="8" w:color="008EB0"/>
              <w:bottom w:val="single" w:sz="8" w:color="008EB0"/>
              <w:right w:val="single" w:sz="8" w:color="008EB0"/>
            </w:tcBorders>
          </w:tcPr>
          <w:p>
            <w:pPr>
              <w:spacing w:after="0" w:line="20" w:lineRule="exact"/>
              <w:rPr>
                <w:sz w:val="1"/>
                <w:szCs w:val="1"/>
                <w:color w:val="auto"/>
              </w:rPr>
            </w:pPr>
          </w:p>
        </w:tc>
        <w:tc>
          <w:tcPr>
            <w:tcW w:w="8060" w:type="dxa"/>
            <w:vAlign w:val="bottom"/>
            <w:tcBorders>
              <w:bottom w:val="single" w:sz="8" w:color="008EB0"/>
              <w:right w:val="single" w:sz="8" w:color="008EB0"/>
            </w:tcBorders>
          </w:tcPr>
          <w:p>
            <w:pPr>
              <w:spacing w:after="0" w:line="20" w:lineRule="exact"/>
              <w:rPr>
                <w:sz w:val="1"/>
                <w:szCs w:val="1"/>
                <w:color w:val="auto"/>
              </w:rPr>
            </w:pPr>
          </w:p>
        </w:tc>
      </w:tr>
      <w:tr>
        <w:trPr>
          <w:trHeight w:val="612"/>
        </w:trPr>
        <w:tc>
          <w:tcPr>
            <w:tcW w:w="3180" w:type="dxa"/>
            <w:vAlign w:val="bottom"/>
          </w:tcPr>
          <w:p>
            <w:pPr>
              <w:ind w:left="760"/>
              <w:spacing w:after="0"/>
              <w:rPr>
                <w:sz w:val="20"/>
                <w:szCs w:val="20"/>
                <w:color w:val="auto"/>
              </w:rPr>
            </w:pPr>
            <w:r>
              <w:rPr>
                <w:rFonts w:ascii="Arial" w:cs="Arial" w:eastAsia="Arial" w:hAnsi="Arial"/>
                <w:sz w:val="17"/>
                <w:szCs w:val="17"/>
                <w:color w:val="auto"/>
              </w:rPr>
              <w:t>5</w:t>
            </w:r>
          </w:p>
        </w:tc>
        <w:tc>
          <w:tcPr>
            <w:tcW w:w="8060" w:type="dxa"/>
            <w:vAlign w:val="bottom"/>
          </w:tcPr>
          <w:p>
            <w:pPr>
              <w:spacing w:after="0"/>
              <w:rPr>
                <w:sz w:val="24"/>
                <w:szCs w:val="24"/>
                <w:color w:val="auto"/>
              </w:rPr>
            </w:pPr>
          </w:p>
        </w:tc>
      </w:tr>
      <w:tr>
        <w:trPr>
          <w:trHeight w:val="545"/>
        </w:trPr>
        <w:tc>
          <w:tcPr>
            <w:tcW w:w="318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204470</wp:posOffset>
            </wp:positionV>
            <wp:extent cx="2011680" cy="43522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2">
                      <a:extLst>
                        <a:ext uri="{28A0092B-C50C-407E-A947-70E740481C1C}"/>
                      </a:extLst>
                    </a:blip>
                    <a:srcRect/>
                    <a:stretch>
                      <a:fillRect/>
                    </a:stretch>
                  </pic:blipFill>
                  <pic:spPr bwMode="auto">
                    <a:xfrm>
                      <a:off x="0" y="0"/>
                      <a:ext cx="2011680" cy="435229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1" w:name="page332"/>
    <w:bookmarkEnd w:id="331"/>
    <w:p>
      <w:pPr>
        <w:spacing w:after="0"/>
        <w:rPr>
          <w:sz w:val="20"/>
          <w:szCs w:val="20"/>
          <w:color w:val="auto"/>
        </w:rPr>
      </w:pPr>
      <w:r>
        <w:rPr>
          <w:rFonts w:ascii="Arial" w:cs="Arial" w:eastAsia="Arial" w:hAnsi="Arial"/>
          <w:sz w:val="22"/>
          <w:szCs w:val="22"/>
          <w:color w:val="008EB0"/>
        </w:rPr>
        <w:t>Acknowledgement and Consent to Policy for Recovery of Erroneously Awarded Compensation</w:t>
      </w:r>
    </w:p>
    <w:p>
      <w:pPr>
        <w:spacing w:after="0" w:line="19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The undersigned has received a copy of the Policy for Recovery of Erroneously Awarded Compensation (as amended from time to time, the “Policy”) adopted by Ascendis Pharma A/S (the “Company”).</w:t>
      </w:r>
    </w:p>
    <w:p>
      <w:pPr>
        <w:spacing w:after="0" w:line="140"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In consideration of, and as a condition to, the receipt of future cash and equity incentive compensation from the Company,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ind w:left="100"/>
              <w:spacing w:after="0"/>
              <w:rPr>
                <w:sz w:val="20"/>
                <w:szCs w:val="20"/>
                <w:color w:val="auto"/>
              </w:rPr>
            </w:pPr>
            <w:r>
              <w:rPr>
                <w:rFonts w:ascii="Arial" w:cs="Arial" w:eastAsia="Arial" w:hAnsi="Arial"/>
                <w:sz w:val="18"/>
                <w:szCs w:val="18"/>
                <w:color w:val="auto"/>
              </w:rPr>
              <w:t>___________________</w:t>
            </w:r>
          </w:p>
        </w:tc>
        <w:tc>
          <w:tcPr>
            <w:tcW w:w="8660" w:type="dxa"/>
            <w:vAlign w:val="bottom"/>
          </w:tcPr>
          <w:p>
            <w:pPr>
              <w:ind w:left="560"/>
              <w:spacing w:after="0"/>
              <w:rPr>
                <w:sz w:val="20"/>
                <w:szCs w:val="20"/>
                <w:color w:val="auto"/>
              </w:rPr>
            </w:pPr>
            <w:r>
              <w:rPr>
                <w:rFonts w:ascii="Arial" w:cs="Arial" w:eastAsia="Arial" w:hAnsi="Arial"/>
                <w:sz w:val="18"/>
                <w:szCs w:val="18"/>
                <w:color w:val="auto"/>
              </w:rPr>
              <w:t>________________________________________</w:t>
            </w:r>
          </w:p>
        </w:tc>
      </w:tr>
      <w:tr>
        <w:trPr>
          <w:trHeight w:val="238"/>
        </w:trPr>
        <w:tc>
          <w:tcPr>
            <w:tcW w:w="2580" w:type="dxa"/>
            <w:vAlign w:val="bottom"/>
          </w:tcPr>
          <w:p>
            <w:pPr>
              <w:ind w:left="100"/>
              <w:spacing w:after="0"/>
              <w:rPr>
                <w:sz w:val="20"/>
                <w:szCs w:val="20"/>
                <w:color w:val="auto"/>
              </w:rPr>
            </w:pPr>
            <w:r>
              <w:rPr>
                <w:rFonts w:ascii="Arial" w:cs="Arial" w:eastAsia="Arial" w:hAnsi="Arial"/>
                <w:sz w:val="18"/>
                <w:szCs w:val="18"/>
                <w:color w:val="auto"/>
              </w:rPr>
              <w:t>Date</w:t>
            </w:r>
          </w:p>
        </w:tc>
        <w:tc>
          <w:tcPr>
            <w:tcW w:w="8660" w:type="dxa"/>
            <w:vAlign w:val="bottom"/>
          </w:tcPr>
          <w:p>
            <w:pPr>
              <w:ind w:left="560"/>
              <w:spacing w:after="0"/>
              <w:rPr>
                <w:sz w:val="20"/>
                <w:szCs w:val="20"/>
                <w:color w:val="auto"/>
              </w:rPr>
            </w:pPr>
            <w:r>
              <w:rPr>
                <w:rFonts w:ascii="Arial" w:cs="Arial" w:eastAsia="Arial" w:hAnsi="Arial"/>
                <w:sz w:val="18"/>
                <w:szCs w:val="18"/>
                <w:color w:val="auto"/>
              </w:rPr>
              <w:t>Signature</w:t>
            </w:r>
          </w:p>
        </w:tc>
      </w:tr>
      <w:tr>
        <w:trPr>
          <w:trHeight w:val="596"/>
        </w:trPr>
        <w:tc>
          <w:tcPr>
            <w:tcW w:w="2580" w:type="dxa"/>
            <w:vAlign w:val="bottom"/>
          </w:tcPr>
          <w:p>
            <w:pPr>
              <w:spacing w:after="0"/>
              <w:rPr>
                <w:sz w:val="24"/>
                <w:szCs w:val="24"/>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________________________________________</w:t>
            </w:r>
          </w:p>
        </w:tc>
      </w:tr>
      <w:tr>
        <w:trPr>
          <w:trHeight w:val="238"/>
        </w:trPr>
        <w:tc>
          <w:tcPr>
            <w:tcW w:w="2580" w:type="dxa"/>
            <w:vAlign w:val="bottom"/>
          </w:tcPr>
          <w:p>
            <w:pPr>
              <w:spacing w:after="0"/>
              <w:rPr>
                <w:sz w:val="20"/>
                <w:szCs w:val="20"/>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Name</w:t>
            </w:r>
          </w:p>
        </w:tc>
      </w:tr>
      <w:tr>
        <w:trPr>
          <w:trHeight w:val="596"/>
        </w:trPr>
        <w:tc>
          <w:tcPr>
            <w:tcW w:w="2580" w:type="dxa"/>
            <w:vAlign w:val="bottom"/>
          </w:tcPr>
          <w:p>
            <w:pPr>
              <w:spacing w:after="0"/>
              <w:rPr>
                <w:sz w:val="24"/>
                <w:szCs w:val="24"/>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________________________________________</w:t>
            </w:r>
          </w:p>
        </w:tc>
      </w:tr>
      <w:tr>
        <w:trPr>
          <w:trHeight w:val="238"/>
        </w:trPr>
        <w:tc>
          <w:tcPr>
            <w:tcW w:w="2580" w:type="dxa"/>
            <w:vAlign w:val="bottom"/>
          </w:tcPr>
          <w:p>
            <w:pPr>
              <w:spacing w:after="0"/>
              <w:rPr>
                <w:sz w:val="20"/>
                <w:szCs w:val="20"/>
                <w:color w:val="auto"/>
              </w:rPr>
            </w:pPr>
          </w:p>
        </w:tc>
        <w:tc>
          <w:tcPr>
            <w:tcW w:w="8660" w:type="dxa"/>
            <w:vAlign w:val="bottom"/>
          </w:tcPr>
          <w:p>
            <w:pPr>
              <w:ind w:left="560"/>
              <w:spacing w:after="0"/>
              <w:rPr>
                <w:sz w:val="20"/>
                <w:szCs w:val="20"/>
                <w:color w:val="auto"/>
              </w:rPr>
            </w:pPr>
            <w:r>
              <w:rPr>
                <w:rFonts w:ascii="Arial" w:cs="Arial" w:eastAsia="Arial" w:hAnsi="Arial"/>
                <w:sz w:val="18"/>
                <w:szCs w:val="18"/>
                <w:color w:val="auto"/>
              </w:rPr>
              <w:t>Title</w:t>
            </w:r>
          </w:p>
        </w:tc>
      </w:tr>
      <w:tr>
        <w:trPr>
          <w:trHeight w:val="817"/>
        </w:trPr>
        <w:tc>
          <w:tcPr>
            <w:tcW w:w="2580" w:type="dxa"/>
            <w:vAlign w:val="bottom"/>
          </w:tcPr>
          <w:p>
            <w:pPr>
              <w:jc w:val="right"/>
              <w:ind w:right="1632"/>
              <w:spacing w:after="0"/>
              <w:rPr>
                <w:sz w:val="20"/>
                <w:szCs w:val="20"/>
                <w:color w:val="auto"/>
              </w:rPr>
            </w:pPr>
            <w:r>
              <w:rPr>
                <w:rFonts w:ascii="Arial" w:cs="Arial" w:eastAsia="Arial" w:hAnsi="Arial"/>
                <w:sz w:val="17"/>
                <w:szCs w:val="17"/>
                <w:color w:val="auto"/>
              </w:rPr>
              <w:t>6</w:t>
            </w:r>
          </w:p>
        </w:tc>
        <w:tc>
          <w:tcPr>
            <w:tcW w:w="8660" w:type="dxa"/>
            <w:vAlign w:val="bottom"/>
          </w:tcPr>
          <w:p>
            <w:pPr>
              <w:spacing w:after="0"/>
              <w:rPr>
                <w:sz w:val="24"/>
                <w:szCs w:val="24"/>
                <w:color w:val="auto"/>
              </w:rPr>
            </w:pPr>
          </w:p>
        </w:tc>
      </w:tr>
      <w:tr>
        <w:trPr>
          <w:trHeight w:val="545"/>
        </w:trPr>
        <w:tc>
          <w:tcPr>
            <w:tcW w:w="258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32" w:name="page333"/>
    <w:bookmarkEnd w:id="3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1."/>
      <w:numFmt w:val="upperLetter"/>
      <w:start w:val="1"/>
    </w:lvl>
  </w:abstractNum>
  <w:abstractNum w:abstractNumId="11">
    <w:nsid w:val="3DB012B3"/>
    <w:multiLevelType w:val="hybridMultilevel"/>
    <w:lvl w:ilvl="0">
      <w:lvlJc w:val="left"/>
      <w:lvlText w:val="%1."/>
      <w:numFmt w:val="upperLetter"/>
      <w:start w:val="3"/>
    </w:lvl>
  </w:abstractNum>
  <w:abstractNum w:abstractNumId="12">
    <w:nsid w:val="2708C9AF"/>
    <w:multiLevelType w:val="hybridMultilevel"/>
    <w:lvl w:ilvl="0">
      <w:lvlJc w:val="left"/>
      <w:lvlText w:val="%1."/>
      <w:numFmt w:val="upperLetter"/>
      <w:start w:val="4"/>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
      <w:numFmt w:val="bullet"/>
      <w:start w:val="1"/>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
      <w:numFmt w:val="bullet"/>
      <w:start w:val="1"/>
    </w:lvl>
  </w:abstractNum>
  <w:abstractNum w:abstractNumId="53">
    <w:nsid w:val="1816F8C4"/>
    <w:multiLevelType w:val="hybridMultilevel"/>
    <w:lvl w:ilvl="0">
      <w:lvlJc w:val="left"/>
      <w:lvlText w:val="%1."/>
      <w:numFmt w:val="upperLetter"/>
      <w:start w:val="1"/>
    </w:lvl>
  </w:abstractNum>
  <w:abstractNum w:abstractNumId="54">
    <w:nsid w:val="37DF2233"/>
    <w:multiLevelType w:val="hybridMultilevel"/>
    <w:lvl w:ilvl="0">
      <w:lvlJc w:val="left"/>
      <w:lvlText w:val="%1."/>
      <w:numFmt w:val="upperLetter"/>
      <w:start w:val="2"/>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o"/>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
      <w:numFmt w:val="bullet"/>
      <w:start w:val="1"/>
    </w:lvl>
  </w:abstractNum>
  <w:abstractNum w:abstractNumId="59">
    <w:nsid w:val="F819E7F"/>
    <w:multiLevelType w:val="hybridMultilevel"/>
    <w:lvl w:ilvl="0">
      <w:lvlJc w:val="left"/>
      <w:lvlText w:val="•"/>
      <w:numFmt w:val="bullet"/>
      <w:start w:val="1"/>
    </w:lvl>
  </w:abstractNum>
  <w:abstractNum w:abstractNumId="60">
    <w:nsid w:val="57C7D42D"/>
    <w:multiLevelType w:val="hybridMultilevel"/>
    <w:lvl w:ilvl="0">
      <w:lvlJc w:val="left"/>
      <w:lvlText w:val="%1."/>
      <w:numFmt w:val="decimal"/>
      <w:start w:val="1"/>
    </w:lvl>
  </w:abstractNum>
  <w:abstractNum w:abstractNumId="61">
    <w:nsid w:val="312167AD"/>
    <w:multiLevelType w:val="hybridMultilevel"/>
    <w:lvl w:ilvl="0">
      <w:lvlJc w:val="left"/>
      <w:lvlText w:val="%1."/>
      <w:numFmt w:val="decimal"/>
      <w:start w:val="6"/>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o"/>
      <w:numFmt w:val="bullet"/>
      <w:start w:val="1"/>
    </w:lvl>
  </w:abstractNum>
  <w:abstractNum w:abstractNumId="69">
    <w:nsid w:val="260D8C4A"/>
    <w:multiLevelType w:val="hybridMultilevel"/>
    <w:lvl w:ilvl="0">
      <w:lvlJc w:val="left"/>
      <w:lvlText w:val="•"/>
      <w:numFmt w:val="bullet"/>
      <w:start w:val="1"/>
    </w:lvl>
    <w:lvl w:ilvl="1">
      <w:lvlJc w:val="left"/>
      <w:lvlText w:val="o"/>
      <w:numFmt w:val="bullet"/>
      <w:start w:val="1"/>
    </w:lvl>
  </w:abstractNum>
  <w:abstractNum w:abstractNumId="70">
    <w:nsid w:val="73D4D3C4"/>
    <w:multiLevelType w:val="hybridMultilevel"/>
    <w:lvl w:ilvl="0">
      <w:lvlJc w:val="left"/>
      <w:lvlText w:val="*"/>
      <w:numFmt w:val="bullet"/>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
      <w:numFmt w:val="bullet"/>
      <w:start w:val="1"/>
    </w:lvl>
  </w:abstractNum>
  <w:abstractNum w:abstractNumId="73">
    <w:nsid w:val="3FC32E20"/>
    <w:multiLevelType w:val="hybridMultilevel"/>
    <w:lvl w:ilvl="0">
      <w:lvlJc w:val="left"/>
      <w:lvlText w:val="(%1)"/>
      <w:numFmt w:val="lowerRoman"/>
      <w:start w:val="5"/>
    </w:lvl>
  </w:abstractNum>
  <w:abstractNum w:abstractNumId="74">
    <w:nsid w:val="49C0E823"/>
    <w:multiLevelType w:val="hybridMultilevel"/>
    <w:lvl w:ilvl="0">
      <w:lvlJc w:val="left"/>
      <w:lvlText w:val="•"/>
      <w:numFmt w:val="bullet"/>
      <w:start w:val="1"/>
    </w:lvl>
  </w:abstractNum>
  <w:abstractNum w:abstractNumId="75">
    <w:nsid w:val="14D53685"/>
    <w:multiLevelType w:val="hybridMultilevel"/>
    <w:lvl w:ilvl="0">
      <w:lvlJc w:val="left"/>
      <w:lvlText w:val="•"/>
      <w:numFmt w:val="bullet"/>
      <w:start w:val="1"/>
    </w:lvl>
  </w:abstractNum>
  <w:abstractNum w:abstractNumId="76">
    <w:nsid w:val="230F856C"/>
    <w:multiLevelType w:val="hybridMultilevel"/>
    <w:lvl w:ilvl="0">
      <w:lvlJc w:val="left"/>
      <w:lvlText w:val="•"/>
      <w:numFmt w:val="bullet"/>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1)"/>
      <w:numFmt w:val="lowerRoman"/>
      <w:start w:val="1"/>
    </w:lvl>
  </w:abstractNum>
  <w:abstractNum w:abstractNumId="79">
    <w:nsid w:val="3B594807"/>
    <w:multiLevelType w:val="hybridMultilevel"/>
    <w:lvl w:ilvl="0">
      <w:lvlJc w:val="left"/>
      <w:lvlText w:val="%1."/>
      <w:numFmt w:val="upperLetter"/>
      <w:start w:val="3"/>
    </w:lvl>
  </w:abstractNum>
  <w:abstractNum w:abstractNumId="80">
    <w:nsid w:val="6CAA2304"/>
    <w:multiLevelType w:val="hybridMultilevel"/>
    <w:lvl w:ilvl="0">
      <w:lvlJc w:val="left"/>
      <w:lvlText w:val="%1."/>
      <w:numFmt w:val="upperLetter"/>
      <w:start w:val="4"/>
    </w:lvl>
  </w:abstractNum>
  <w:abstractNum w:abstractNumId="81">
    <w:nsid w:val="3F7C2FF4"/>
    <w:multiLevelType w:val="hybridMultilevel"/>
    <w:lvl w:ilvl="0">
      <w:lvlJc w:val="left"/>
      <w:lvlText w:val="%1."/>
      <w:numFmt w:val="upperLetter"/>
      <w:start w:val="1"/>
    </w:lvl>
  </w:abstractNum>
  <w:abstractNum w:abstractNumId="82">
    <w:nsid w:val="25413BEC"/>
    <w:multiLevelType w:val="hybridMultilevel"/>
    <w:lvl w:ilvl="0">
      <w:lvlJc w:val="left"/>
      <w:lvlText w:val="(%1)"/>
      <w:numFmt w:val="decimal"/>
      <w:start w:val="1"/>
    </w:lvl>
  </w:abstractNum>
  <w:abstractNum w:abstractNumId="83">
    <w:nsid w:val="17180B0B"/>
    <w:multiLevelType w:val="hybridMultilevel"/>
    <w:lvl w:ilvl="0">
      <w:lvlJc w:val="left"/>
      <w:lvlText w:val="(%1)"/>
      <w:numFmt w:val="decimal"/>
      <w:start w:val="1"/>
    </w:lvl>
  </w:abstractNum>
  <w:abstractNum w:abstractNumId="84">
    <w:nsid w:val="579328B9"/>
    <w:multiLevelType w:val="hybridMultilevel"/>
    <w:lvl w:ilvl="0">
      <w:lvlJc w:val="left"/>
      <w:lvlText w:val="%1."/>
      <w:numFmt w:val="upperLetter"/>
      <w:start w:val="2"/>
    </w:lvl>
  </w:abstractNum>
  <w:abstractNum w:abstractNumId="85">
    <w:nsid w:val="5D205E20"/>
    <w:multiLevelType w:val="hybridMultilevel"/>
    <w:lvl w:ilvl="0">
      <w:lvlJc w:val="left"/>
      <w:lvlText w:val="•"/>
      <w:numFmt w:val="bullet"/>
      <w:start w:val="1"/>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1."/>
      <w:numFmt w:val="upperLetter"/>
      <w:start w:val="3"/>
    </w:lvl>
  </w:abstractNum>
  <w:abstractNum w:abstractNumId="89">
    <w:nsid w:val="6B47F63E"/>
    <w:multiLevelType w:val="hybridMultilevel"/>
    <w:lvl w:ilvl="0">
      <w:lvlJc w:val="left"/>
      <w:lvlText w:val="%1."/>
      <w:numFmt w:val="upperLetter"/>
      <w:start w:val="4"/>
    </w:lvl>
  </w:abstractNum>
  <w:abstractNum w:abstractNumId="90">
    <w:nsid w:val="5CB44A05"/>
    <w:multiLevelType w:val="hybridMultilevel"/>
    <w:lvl w:ilvl="0">
      <w:lvlJc w:val="left"/>
      <w:lvlText w:val="%1."/>
      <w:numFmt w:val="upperLetter"/>
      <w:start w:val="5"/>
    </w:lvl>
  </w:abstractNum>
  <w:abstractNum w:abstractNumId="91">
    <w:nsid w:val="16CF80F1"/>
    <w:multiLevelType w:val="hybridMultilevel"/>
    <w:lvl w:ilvl="0">
      <w:lvlJc w:val="left"/>
      <w:lvlText w:val="%1."/>
      <w:numFmt w:val="upperLetter"/>
      <w:start w:val="1"/>
    </w:lvl>
  </w:abstractNum>
  <w:abstractNum w:abstractNumId="92">
    <w:nsid w:val="1C695DEC"/>
    <w:multiLevelType w:val="hybridMultilevel"/>
    <w:lvl w:ilvl="0">
      <w:lvlJc w:val="left"/>
      <w:lvlText w:val="&amp;"/>
      <w:numFmt w:val="bullet"/>
      <w:start w:val="1"/>
    </w:lvl>
  </w:abstractNum>
  <w:abstractNum w:abstractNumId="93">
    <w:nsid w:val="3FCFAED9"/>
    <w:multiLevelType w:val="hybridMultilevel"/>
    <w:lvl w:ilvl="0">
      <w:lvlJc w:val="left"/>
      <w:lvlText w:val="%1."/>
      <w:numFmt w:val="upperLetter"/>
      <w:start w:val="2"/>
    </w:lvl>
  </w:abstractNum>
  <w:abstractNum w:abstractNumId="94">
    <w:nsid w:val="F856867"/>
    <w:multiLevelType w:val="hybridMultilevel"/>
    <w:lvl w:ilvl="0">
      <w:lvlJc w:val="left"/>
      <w:lvlText w:val="%1."/>
      <w:numFmt w:val="upperLetter"/>
      <w:start w:val="3"/>
    </w:lvl>
  </w:abstractNum>
  <w:abstractNum w:abstractNumId="95">
    <w:nsid w:val="11B1CC33"/>
    <w:multiLevelType w:val="hybridMultilevel"/>
    <w:lvl w:ilvl="0">
      <w:lvlJc w:val="left"/>
      <w:lvlText w:val="(%1)"/>
      <w:numFmt w:val="upperLetter"/>
      <w:start w:val="1"/>
    </w:lvl>
    <w:lvl w:ilvl="1">
      <w:lvlJc w:val="left"/>
      <w:lvlText w:val="•"/>
      <w:numFmt w:val="bullet"/>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
      <w:numFmt w:val="bullet"/>
      <w:start w:val="1"/>
    </w:lvl>
  </w:abstractNum>
  <w:abstractNum w:abstractNumId="98">
    <w:nsid w:val="77485850"/>
    <w:multiLevelType w:val="hybridMultilevel"/>
    <w:lvl w:ilvl="0">
      <w:lvlJc w:val="left"/>
      <w:lvlText w:val="•"/>
      <w:numFmt w:val="bullet"/>
      <w:start w:val="1"/>
    </w:lvl>
  </w:abstractNum>
  <w:abstractNum w:abstractNumId="99">
    <w:nsid w:val="744939A3"/>
    <w:multiLevelType w:val="hybridMultilevel"/>
    <w:lvl w:ilvl="0">
      <w:lvlJc w:val="left"/>
      <w:lvlText w:val="%1."/>
      <w:numFmt w:val="upperLetter"/>
      <w:start w:val="4"/>
    </w:lvl>
  </w:abstractNum>
  <w:abstractNum w:abstractNumId="100">
    <w:nsid w:val="4FA0D2E3"/>
    <w:multiLevelType w:val="hybridMultilevel"/>
    <w:lvl w:ilvl="0">
      <w:lvlJc w:val="left"/>
      <w:lvlText w:val="(%1)"/>
      <w:numFmt w:val="decimal"/>
      <w:start w:val="1"/>
    </w:lvl>
  </w:abstractNum>
  <w:abstractNum w:abstractNumId="101">
    <w:nsid w:val="6B1D2C14"/>
    <w:multiLevelType w:val="hybridMultilevel"/>
    <w:lvl w:ilvl="0">
      <w:lvlJc w:val="left"/>
      <w:lvlText w:val="%1."/>
      <w:numFmt w:val="upperLetter"/>
      <w:start w:val="5"/>
    </w:lvl>
  </w:abstractNum>
  <w:abstractNum w:abstractNumId="102">
    <w:nsid w:val="68B867D3"/>
    <w:multiLevelType w:val="hybridMultilevel"/>
    <w:lvl w:ilvl="0">
      <w:lvlJc w:val="left"/>
      <w:lvlText w:val="%1."/>
      <w:numFmt w:val="upperLetter"/>
      <w:start w:val="6"/>
    </w:lvl>
  </w:abstractNum>
  <w:abstractNum w:abstractNumId="103">
    <w:nsid w:val="3F7F5DD9"/>
    <w:multiLevelType w:val="hybridMultilevel"/>
    <w:lvl w:ilvl="0">
      <w:lvlJc w:val="left"/>
      <w:lvlText w:val="•"/>
      <w:numFmt w:val="bullet"/>
      <w:start w:val="1"/>
    </w:lvl>
  </w:abstractNum>
  <w:abstractNum w:abstractNumId="104">
    <w:nsid w:val="2AE05A34"/>
    <w:multiLevelType w:val="hybridMultilevel"/>
    <w:lvl w:ilvl="0">
      <w:lvlJc w:val="left"/>
      <w:lvlText w:val="*"/>
      <w:numFmt w:val="bullet"/>
      <w:start w:val="1"/>
    </w:lvl>
    <w:lvl w:ilvl="1">
      <w:lvlJc w:val="left"/>
      <w:lvlText w:val="(%2)"/>
      <w:numFmt w:val="decimal"/>
      <w:start w:val="1"/>
    </w:lvl>
  </w:abstractNum>
  <w:abstractNum w:abstractNumId="105">
    <w:nsid w:val="32794FF7"/>
    <w:multiLevelType w:val="hybridMultilevel"/>
    <w:lvl w:ilvl="0">
      <w:lvlJc w:val="left"/>
      <w:lvlText w:val="(%1)"/>
      <w:numFmt w:val="decimal"/>
      <w:start w:val="2"/>
    </w:lvl>
    <w:lvl w:ilvl="1">
      <w:lvlJc w:val="left"/>
      <w:lvlText w:val="(%2)"/>
      <w:numFmt w:val="lowerRoman"/>
      <w:start w:val="2"/>
    </w:lvl>
  </w:abstractNum>
  <w:abstractNum w:abstractNumId="106">
    <w:nsid w:val="5454945E"/>
    <w:multiLevelType w:val="hybridMultilevel"/>
    <w:lvl w:ilvl="0">
      <w:lvlJc w:val="left"/>
      <w:lvlText w:val="(%1)"/>
      <w:numFmt w:val="decimal"/>
      <w:start w:val="15"/>
    </w:lvl>
    <w:lvl w:ilvl="1">
      <w:lvlJc w:val="left"/>
      <w:lvlText w:val="(%2)"/>
      <w:numFmt w:val="lowerRoman"/>
      <w:start w:val="2"/>
    </w:lvl>
  </w:abstractNum>
  <w:abstractNum w:abstractNumId="107">
    <w:nsid w:val="4DEFDFA0"/>
    <w:multiLevelType w:val="hybridMultilevel"/>
    <w:lvl w:ilvl="0">
      <w:lvlJc w:val="left"/>
      <w:lvlText w:val="%1."/>
      <w:numFmt w:val="upperLetter"/>
      <w:start w:val="1"/>
    </w:lvl>
  </w:abstractNum>
  <w:abstractNum w:abstractNumId="108">
    <w:nsid w:val="2123D5F2"/>
    <w:multiLevelType w:val="hybridMultilevel"/>
    <w:lvl w:ilvl="0">
      <w:lvlJc w:val="left"/>
      <w:lvlText w:val="%1."/>
      <w:numFmt w:val="upperLetter"/>
      <w:start w:val="2"/>
    </w:lvl>
  </w:abstractNum>
  <w:abstractNum w:abstractNumId="109">
    <w:nsid w:val="135B8110"/>
    <w:multiLevelType w:val="hybridMultilevel"/>
    <w:lvl w:ilvl="0">
      <w:lvlJc w:val="left"/>
      <w:lvlText w:val="%1."/>
      <w:numFmt w:val="upperLetter"/>
      <w:start w:val="1"/>
    </w:lvl>
  </w:abstractNum>
  <w:abstractNum w:abstractNumId="110">
    <w:nsid w:val="94927A8"/>
    <w:multiLevelType w:val="hybridMultilevel"/>
    <w:lvl w:ilvl="0">
      <w:lvlJc w:val="left"/>
      <w:lvlText w:val="%1."/>
      <w:numFmt w:val="upperLetter"/>
      <w:start w:val="2"/>
    </w:lvl>
  </w:abstractNum>
  <w:abstractNum w:abstractNumId="111">
    <w:nsid w:val="DCDF8F6"/>
    <w:multiLevelType w:val="hybridMultilevel"/>
    <w:lvl w:ilvl="0">
      <w:lvlJc w:val="left"/>
      <w:lvlText w:val="%1."/>
      <w:numFmt w:val="upperLetter"/>
      <w:start w:val="3"/>
    </w:lvl>
  </w:abstractNum>
  <w:abstractNum w:abstractNumId="112">
    <w:nsid w:val="52D7B105"/>
    <w:multiLevelType w:val="hybridMultilevel"/>
    <w:lvl w:ilvl="0">
      <w:lvlJc w:val="left"/>
      <w:lvlText w:val="%1."/>
      <w:numFmt w:val="upperLetter"/>
      <w:start w:val="4"/>
    </w:lvl>
  </w:abstractNum>
  <w:abstractNum w:abstractNumId="113">
    <w:nsid w:val="2E8A6394"/>
    <w:multiLevelType w:val="hybridMultilevel"/>
    <w:lvl w:ilvl="0">
      <w:lvlJc w:val="left"/>
      <w:lvlText w:val="%1."/>
      <w:numFmt w:val="upperLetter"/>
      <w:start w:val="5"/>
    </w:lvl>
  </w:abstractNum>
  <w:abstractNum w:abstractNumId="114">
    <w:nsid w:val="24E60401"/>
    <w:multiLevelType w:val="hybridMultilevel"/>
    <w:lvl w:ilvl="0">
      <w:lvlJc w:val="left"/>
      <w:lvlText w:val="%1."/>
      <w:numFmt w:val="upperLetter"/>
      <w:start w:val="6"/>
    </w:lvl>
  </w:abstractNum>
  <w:abstractNum w:abstractNumId="115">
    <w:nsid w:val="2A6AD9BE"/>
    <w:multiLevelType w:val="hybridMultilevel"/>
    <w:lvl w:ilvl="0">
      <w:lvlJc w:val="left"/>
      <w:lvlText w:val="%1."/>
      <w:numFmt w:val="upperLetter"/>
      <w:start w:val="1"/>
    </w:lvl>
  </w:abstractNum>
  <w:abstractNum w:abstractNumId="116">
    <w:nsid w:val="BAAC1B4"/>
    <w:multiLevelType w:val="hybridMultilevel"/>
    <w:lvl w:ilvl="0">
      <w:lvlJc w:val="left"/>
      <w:lvlText w:val="%1."/>
      <w:numFmt w:val="upperLetter"/>
      <w:start w:val="2"/>
    </w:lvl>
  </w:abstractNum>
  <w:abstractNum w:abstractNumId="117">
    <w:nsid w:val="36B2ACBC"/>
    <w:multiLevelType w:val="hybridMultilevel"/>
    <w:lvl w:ilvl="0">
      <w:lvlJc w:val="left"/>
      <w:lvlText w:val="•"/>
      <w:numFmt w:val="bullet"/>
      <w:start w:val="1"/>
    </w:lvl>
  </w:abstractNum>
  <w:abstractNum w:abstractNumId="118">
    <w:nsid w:val="779D8544"/>
    <w:multiLevelType w:val="hybridMultilevel"/>
    <w:lvl w:ilvl="0">
      <w:lvlJc w:val="left"/>
      <w:lvlText w:val="•"/>
      <w:numFmt w:val="bullet"/>
      <w:start w:val="1"/>
    </w:lvl>
  </w:abstractNum>
  <w:abstractNum w:abstractNumId="119">
    <w:nsid w:val="4AB26E78"/>
    <w:multiLevelType w:val="hybridMultilevel"/>
    <w:lvl w:ilvl="0">
      <w:lvlJc w:val="left"/>
      <w:lvlText w:val="•"/>
      <w:numFmt w:val="bullet"/>
      <w:start w:val="1"/>
    </w:lvl>
  </w:abstractNum>
  <w:abstractNum w:abstractNumId="120">
    <w:nsid w:val="21FAA2FA"/>
    <w:multiLevelType w:val="hybridMultilevel"/>
    <w:lvl w:ilvl="0">
      <w:lvlJc w:val="left"/>
      <w:lvlText w:val="•"/>
      <w:numFmt w:val="bullet"/>
      <w:start w:val="1"/>
    </w:lvl>
  </w:abstractNum>
  <w:abstractNum w:abstractNumId="121">
    <w:nsid w:val="5451CF49"/>
    <w:multiLevelType w:val="hybridMultilevel"/>
    <w:lvl w:ilvl="0">
      <w:lvlJc w:val="left"/>
      <w:lvlText w:val="•"/>
      <w:numFmt w:val="bullet"/>
      <w:start w:val="1"/>
    </w:lvl>
  </w:abstractNum>
  <w:abstractNum w:abstractNumId="122">
    <w:nsid w:val="6181EF69"/>
    <w:multiLevelType w:val="hybridMultilevel"/>
    <w:lvl w:ilvl="0">
      <w:lvlJc w:val="left"/>
      <w:lvlText w:val="%1."/>
      <w:numFmt w:val="upperLetter"/>
      <w:start w:val="3"/>
    </w:lvl>
  </w:abstractNum>
  <w:abstractNum w:abstractNumId="123">
    <w:nsid w:val="3E6400E6"/>
    <w:multiLevelType w:val="hybridMultilevel"/>
    <w:lvl w:ilvl="0">
      <w:lvlJc w:val="left"/>
      <w:lvlText w:val="%1."/>
      <w:numFmt w:val="upperLetter"/>
      <w:start w:val="4"/>
    </w:lvl>
  </w:abstractNum>
  <w:abstractNum w:abstractNumId="124">
    <w:nsid w:val="14217E23"/>
    <w:multiLevelType w:val="hybridMultilevel"/>
    <w:lvl w:ilvl="0">
      <w:lvlJc w:val="left"/>
      <w:lvlText w:val="%1."/>
      <w:numFmt w:val="upperLetter"/>
      <w:start w:val="5"/>
    </w:lvl>
  </w:abstractNum>
  <w:abstractNum w:abstractNumId="125">
    <w:nsid w:val="710757D0"/>
    <w:multiLevelType w:val="hybridMultilevel"/>
    <w:lvl w:ilvl="0">
      <w:lvlJc w:val="left"/>
      <w:lvlText w:val="•"/>
      <w:numFmt w:val="bullet"/>
      <w:start w:val="1"/>
    </w:lvl>
  </w:abstractNum>
  <w:abstractNum w:abstractNumId="126">
    <w:nsid w:val="5015CD1A"/>
    <w:multiLevelType w:val="hybridMultilevel"/>
    <w:lvl w:ilvl="0">
      <w:lvlJc w:val="left"/>
      <w:lvlText w:val="•"/>
      <w:numFmt w:val="bullet"/>
      <w:start w:val="1"/>
    </w:lvl>
  </w:abstractNum>
  <w:abstractNum w:abstractNumId="127">
    <w:nsid w:val="424479DA"/>
    <w:multiLevelType w:val="hybridMultilevel"/>
    <w:lvl w:ilvl="0">
      <w:lvlJc w:val="left"/>
      <w:lvlText w:val="•"/>
      <w:numFmt w:val="bullet"/>
      <w:start w:val="1"/>
    </w:lvl>
  </w:abstractNum>
  <w:abstractNum w:abstractNumId="128">
    <w:nsid w:val="1A9A9E69"/>
    <w:multiLevelType w:val="hybridMultilevel"/>
    <w:lvl w:ilvl="0">
      <w:lvlJc w:val="left"/>
      <w:lvlText w:val="•"/>
      <w:numFmt w:val="bullet"/>
      <w:start w:val="1"/>
    </w:lvl>
  </w:abstractNum>
  <w:abstractNum w:abstractNumId="129">
    <w:nsid w:val="475E256A"/>
    <w:multiLevelType w:val="hybridMultilevel"/>
    <w:lvl w:ilvl="0">
      <w:lvlJc w:val="left"/>
      <w:lvlText w:val="•"/>
      <w:numFmt w:val="bullet"/>
      <w:start w:val="1"/>
    </w:lvl>
  </w:abstractNum>
  <w:abstractNum w:abstractNumId="130">
    <w:nsid w:val="368DB37E"/>
    <w:multiLevelType w:val="hybridMultilevel"/>
    <w:lvl w:ilvl="0">
      <w:lvlJc w:val="left"/>
      <w:lvlText w:val="•"/>
      <w:numFmt w:val="bullet"/>
      <w:start w:val="1"/>
    </w:lvl>
  </w:abstractNum>
  <w:abstractNum w:abstractNumId="131">
    <w:nsid w:val="6A3B714C"/>
    <w:multiLevelType w:val="hybridMultilevel"/>
    <w:lvl w:ilvl="0">
      <w:lvlJc w:val="left"/>
      <w:lvlText w:val="%1."/>
      <w:numFmt w:val="upperLetter"/>
      <w:start w:val="6"/>
    </w:lvl>
  </w:abstractNum>
  <w:abstractNum w:abstractNumId="132">
    <w:nsid w:val="327B517E"/>
    <w:multiLevelType w:val="hybridMultilevel"/>
    <w:lvl w:ilvl="0">
      <w:lvlJc w:val="left"/>
      <w:lvlText w:val="%1."/>
      <w:numFmt w:val="upperLetter"/>
      <w:start w:val="7"/>
    </w:lvl>
  </w:abstractNum>
  <w:abstractNum w:abstractNumId="133">
    <w:nsid w:val="1F461B51"/>
    <w:multiLevelType w:val="hybridMultilevel"/>
    <w:lvl w:ilvl="0">
      <w:lvlJc w:val="left"/>
      <w:lvlText w:val="%1."/>
      <w:numFmt w:val="upperLetter"/>
      <w:start w:val="8"/>
    </w:lvl>
  </w:abstractNum>
  <w:abstractNum w:abstractNumId="134">
    <w:nsid w:val="29BACF25"/>
    <w:multiLevelType w:val="hybridMultilevel"/>
    <w:lvl w:ilvl="0">
      <w:lvlJc w:val="left"/>
      <w:lvlText w:val="%1."/>
      <w:numFmt w:val="upperLetter"/>
      <w:start w:val="9"/>
    </w:lvl>
  </w:abstractNum>
  <w:abstractNum w:abstractNumId="135">
    <w:nsid w:val="5D5BABB3"/>
    <w:multiLevelType w:val="hybridMultilevel"/>
    <w:lvl w:ilvl="0">
      <w:lvlJc w:val="left"/>
      <w:lvlText w:val="%1."/>
      <w:numFmt w:val="upperLetter"/>
      <w:start w:val="10"/>
    </w:lvl>
  </w:abstractNum>
  <w:abstractNum w:abstractNumId="136">
    <w:nsid w:val="51BF6B48"/>
    <w:multiLevelType w:val="hybridMultilevel"/>
    <w:lvl w:ilvl="0">
      <w:lvlJc w:val="left"/>
      <w:lvlText w:val="%1."/>
      <w:numFmt w:val="upperLetter"/>
      <w:start w:val="1"/>
    </w:lvl>
  </w:abstractNum>
  <w:abstractNum w:abstractNumId="137">
    <w:nsid w:val="7E0F6384"/>
    <w:multiLevelType w:val="hybridMultilevel"/>
    <w:lvl w:ilvl="0">
      <w:lvlJc w:val="left"/>
      <w:lvlText w:val="%1."/>
      <w:numFmt w:val="upperLetter"/>
      <w:start w:val="2"/>
    </w:lvl>
  </w:abstractNum>
  <w:abstractNum w:abstractNumId="138">
    <w:nsid w:val="2B4B8B53"/>
    <w:multiLevelType w:val="hybridMultilevel"/>
    <w:lvl w:ilvl="0">
      <w:lvlJc w:val="left"/>
      <w:lvlText w:val="%1."/>
      <w:numFmt w:val="upperLetter"/>
      <w:start w:val="3"/>
    </w:lvl>
  </w:abstractNum>
  <w:abstractNum w:abstractNumId="139">
    <w:nsid w:val="72E3413A"/>
    <w:multiLevelType w:val="hybridMultilevel"/>
    <w:lvl w:ilvl="0">
      <w:lvlJc w:val="left"/>
      <w:lvlText w:val="%1."/>
      <w:numFmt w:val="upperLetter"/>
      <w:start w:val="4"/>
    </w:lvl>
  </w:abstractNum>
  <w:abstractNum w:abstractNumId="140">
    <w:nsid w:val="116AE494"/>
    <w:multiLevelType w:val="hybridMultilevel"/>
    <w:lvl w:ilvl="0">
      <w:lvlJc w:val="left"/>
      <w:lvlText w:val="•"/>
      <w:numFmt w:val="bullet"/>
      <w:start w:val="1"/>
    </w:lvl>
  </w:abstractNum>
  <w:abstractNum w:abstractNumId="141">
    <w:nsid w:val="3494B2FB"/>
    <w:multiLevelType w:val="hybridMultilevel"/>
    <w:lvl w:ilvl="0">
      <w:lvlJc w:val="left"/>
      <w:lvlText w:val="•"/>
      <w:numFmt w:val="bullet"/>
      <w:start w:val="1"/>
    </w:lvl>
  </w:abstractNum>
  <w:abstractNum w:abstractNumId="142">
    <w:nsid w:val="B13A31"/>
    <w:multiLevelType w:val="hybridMultilevel"/>
    <w:lvl w:ilvl="0">
      <w:lvlJc w:val="left"/>
      <w:lvlText w:val="•"/>
      <w:numFmt w:val="bullet"/>
      <w:start w:val="1"/>
    </w:lvl>
  </w:abstractNum>
  <w:abstractNum w:abstractNumId="143">
    <w:nsid w:val="64429599"/>
    <w:multiLevelType w:val="hybridMultilevel"/>
    <w:lvl w:ilvl="0">
      <w:lvlJc w:val="left"/>
      <w:lvlText w:val="•"/>
      <w:numFmt w:val="bullet"/>
      <w:start w:val="1"/>
    </w:lvl>
  </w:abstractNum>
  <w:abstractNum w:abstractNumId="144">
    <w:nsid w:val="631F1690"/>
    <w:multiLevelType w:val="hybridMultilevel"/>
    <w:lvl w:ilvl="0">
      <w:lvlJc w:val="left"/>
      <w:lvlText w:val="•"/>
      <w:numFmt w:val="bullet"/>
      <w:start w:val="1"/>
    </w:lvl>
  </w:abstractNum>
  <w:abstractNum w:abstractNumId="145">
    <w:nsid w:val="25973E32"/>
    <w:multiLevelType w:val="hybridMultilevel"/>
    <w:lvl w:ilvl="0">
      <w:lvlJc w:val="left"/>
      <w:lvlText w:val="•"/>
      <w:numFmt w:val="bullet"/>
      <w:start w:val="1"/>
    </w:lvl>
  </w:abstractNum>
  <w:abstractNum w:abstractNumId="146">
    <w:nsid w:val="EAD6F57"/>
    <w:multiLevelType w:val="hybridMultilevel"/>
    <w:lvl w:ilvl="0">
      <w:lvlJc w:val="left"/>
      <w:lvlText w:val="•"/>
      <w:numFmt w:val="bullet"/>
      <w:start w:val="1"/>
    </w:lvl>
  </w:abstractNum>
  <w:abstractNum w:abstractNumId="147">
    <w:nsid w:val="6EC9D844"/>
    <w:multiLevelType w:val="hybridMultilevel"/>
    <w:lvl w:ilvl="0">
      <w:lvlJc w:val="left"/>
      <w:lvlText w:val="(%1)"/>
      <w:numFmt w:val="decimal"/>
      <w:start w:val="1"/>
    </w:lvl>
  </w:abstractNum>
  <w:abstractNum w:abstractNumId="148">
    <w:nsid w:val="5C49EAEE"/>
    <w:multiLevelType w:val="hybridMultilevel"/>
    <w:lvl w:ilvl="0">
      <w:lvlJc w:val="left"/>
      <w:lvlText w:val="•"/>
      <w:numFmt w:val="bullet"/>
      <w:start w:val="1"/>
    </w:lvl>
  </w:abstractNum>
  <w:abstractNum w:abstractNumId="149">
    <w:nsid w:val="64AF49B"/>
    <w:multiLevelType w:val="hybridMultilevel"/>
    <w:lvl w:ilvl="0">
      <w:lvlJc w:val="left"/>
      <w:lvlText w:val="•"/>
      <w:numFmt w:val="bullet"/>
      <w:start w:val="1"/>
    </w:lvl>
  </w:abstractNum>
  <w:abstractNum w:abstractNumId="150">
    <w:nsid w:val="397C46BC"/>
    <w:multiLevelType w:val="hybridMultilevel"/>
    <w:lvl w:ilvl="0">
      <w:lvlJc w:val="left"/>
      <w:lvlText w:val="•"/>
      <w:numFmt w:val="bullet"/>
      <w:start w:val="1"/>
    </w:lvl>
  </w:abstractNum>
  <w:abstractNum w:abstractNumId="151">
    <w:nsid w:val="7E448DE9"/>
    <w:multiLevelType w:val="hybridMultilevel"/>
    <w:lvl w:ilvl="0">
      <w:lvlJc w:val="left"/>
      <w:lvlText w:val="(%1)"/>
      <w:numFmt w:val="decimal"/>
      <w:start w:val="1"/>
    </w:lvl>
  </w:abstractNum>
  <w:abstractNum w:abstractNumId="152">
    <w:nsid w:val="5A9CC3E5"/>
    <w:multiLevelType w:val="hybridMultilevel"/>
    <w:lvl w:ilvl="0">
      <w:lvlJc w:val="left"/>
      <w:lvlText w:val="(%1)"/>
      <w:numFmt w:val="decimal"/>
      <w:start w:val="1"/>
    </w:lvl>
  </w:abstractNum>
  <w:abstractNum w:abstractNumId="153">
    <w:nsid w:val="1AFE3625"/>
    <w:multiLevelType w:val="hybridMultilevel"/>
    <w:lvl w:ilvl="0">
      <w:lvlJc w:val="left"/>
      <w:lvlText w:val="(%1)"/>
      <w:numFmt w:val="decimal"/>
      <w:start w:val="1"/>
    </w:lvl>
  </w:abstractNum>
  <w:abstractNum w:abstractNumId="154">
    <w:nsid w:val="3CA88ECF"/>
    <w:multiLevelType w:val="hybridMultilevel"/>
    <w:lvl w:ilvl="0">
      <w:lvlJc w:val="left"/>
      <w:lvlText w:val="(%1)"/>
      <w:numFmt w:val="decimal"/>
      <w:start w:val="1"/>
    </w:lvl>
  </w:abstractNum>
  <w:abstractNum w:abstractNumId="155">
    <w:nsid w:val="6EBE4208"/>
    <w:multiLevelType w:val="hybridMultilevel"/>
    <w:lvl w:ilvl="0">
      <w:lvlJc w:val="left"/>
      <w:lvlText w:val="(%1)"/>
      <w:numFmt w:val="decimal"/>
      <w:start w:val="1"/>
    </w:lvl>
  </w:abstractNum>
  <w:abstractNum w:abstractNumId="156">
    <w:nsid w:val="C058DF5"/>
    <w:multiLevelType w:val="hybridMultilevel"/>
    <w:lvl w:ilvl="0">
      <w:lvlJc w:val="left"/>
      <w:lvlText w:val="•"/>
      <w:numFmt w:val="bullet"/>
      <w:start w:val="1"/>
    </w:lvl>
  </w:abstractNum>
  <w:abstractNum w:abstractNumId="157">
    <w:nsid w:val="CBE5BE9"/>
    <w:multiLevelType w:val="hybridMultilevel"/>
    <w:lvl w:ilvl="0">
      <w:lvlJc w:val="left"/>
      <w:lvlText w:val="*"/>
      <w:numFmt w:val="bullet"/>
      <w:start w:val="1"/>
    </w:lvl>
  </w:abstractNum>
  <w:abstractNum w:abstractNumId="158">
    <w:nsid w:val="3102BBE2"/>
    <w:multiLevelType w:val="hybridMultilevel"/>
    <w:lvl w:ilvl="0">
      <w:lvlJc w:val="left"/>
      <w:lvlText w:val="•"/>
      <w:numFmt w:val="bullet"/>
      <w:start w:val="1"/>
    </w:lvl>
  </w:abstractNum>
  <w:abstractNum w:abstractNumId="159">
    <w:nsid w:val="26A02C5E"/>
    <w:multiLevelType w:val="hybridMultilevel"/>
    <w:lvl w:ilvl="0">
      <w:lvlJc w:val="left"/>
      <w:lvlText w:val="•"/>
      <w:numFmt w:val="bullet"/>
      <w:start w:val="1"/>
    </w:lvl>
  </w:abstractNum>
  <w:abstractNum w:abstractNumId="160">
    <w:nsid w:val="541C8153"/>
    <w:multiLevelType w:val="hybridMultilevel"/>
    <w:lvl w:ilvl="0">
      <w:lvlJc w:val="left"/>
      <w:lvlText w:val="•"/>
      <w:numFmt w:val="bullet"/>
      <w:start w:val="1"/>
    </w:lvl>
  </w:abstractNum>
  <w:abstractNum w:abstractNumId="161">
    <w:nsid w:val="67906F60"/>
    <w:multiLevelType w:val="hybridMultilevel"/>
    <w:lvl w:ilvl="0">
      <w:lvlJc w:val="left"/>
      <w:lvlText w:val="•"/>
      <w:numFmt w:val="bullet"/>
      <w:start w:val="1"/>
    </w:lvl>
  </w:abstractNum>
  <w:abstractNum w:abstractNumId="162">
    <w:nsid w:val="10DB9DAA"/>
    <w:multiLevelType w:val="hybridMultilevel"/>
    <w:lvl w:ilvl="0">
      <w:lvlJc w:val="left"/>
      <w:lvlText w:val="•"/>
      <w:numFmt w:val="bullet"/>
      <w:start w:val="1"/>
    </w:lvl>
  </w:abstractNum>
  <w:abstractNum w:abstractNumId="163">
    <w:nsid w:val="697D2D2"/>
    <w:multiLevelType w:val="hybridMultilevel"/>
    <w:lvl w:ilvl="0">
      <w:lvlJc w:val="left"/>
      <w:lvlText w:val="•"/>
      <w:numFmt w:val="bullet"/>
      <w:start w:val="1"/>
    </w:lvl>
  </w:abstractNum>
  <w:abstractNum w:abstractNumId="164">
    <w:nsid w:val="6D68AB2"/>
    <w:multiLevelType w:val="hybridMultilevel"/>
    <w:lvl w:ilvl="0">
      <w:lvlJc w:val="left"/>
      <w:lvlText w:val="•"/>
      <w:numFmt w:val="bullet"/>
      <w:start w:val="1"/>
    </w:lvl>
  </w:abstractNum>
  <w:abstractNum w:abstractNumId="165">
    <w:nsid w:val="3A966CD0"/>
    <w:multiLevelType w:val="hybridMultilevel"/>
    <w:lvl w:ilvl="0">
      <w:lvlJc w:val="left"/>
      <w:lvlText w:val="•"/>
      <w:numFmt w:val="bullet"/>
      <w:start w:val="1"/>
    </w:lvl>
  </w:abstractNum>
  <w:abstractNum w:abstractNumId="166">
    <w:nsid w:val="63F37E85"/>
    <w:multiLevelType w:val="hybridMultilevel"/>
    <w:lvl w:ilvl="0">
      <w:lvlJc w:val="left"/>
      <w:lvlText w:val="•"/>
      <w:numFmt w:val="bullet"/>
      <w:start w:val="1"/>
    </w:lvl>
  </w:abstractNum>
  <w:abstractNum w:abstractNumId="167">
    <w:nsid w:val="5895F5FA"/>
    <w:multiLevelType w:val="hybridMultilevel"/>
    <w:lvl w:ilvl="0">
      <w:lvlJc w:val="left"/>
      <w:lvlText w:val="•"/>
      <w:numFmt w:val="bullet"/>
      <w:start w:val="1"/>
    </w:lvl>
  </w:abstractNum>
  <w:abstractNum w:abstractNumId="168">
    <w:nsid w:val="38A5D054"/>
    <w:multiLevelType w:val="hybridMultilevel"/>
    <w:lvl w:ilvl="0">
      <w:lvlJc w:val="left"/>
      <w:lvlText w:val="•"/>
      <w:numFmt w:val="bullet"/>
      <w:start w:val="1"/>
    </w:lvl>
  </w:abstractNum>
  <w:abstractNum w:abstractNumId="169">
    <w:nsid w:val="F3F09D8"/>
    <w:multiLevelType w:val="hybridMultilevel"/>
    <w:lvl w:ilvl="0">
      <w:lvlJc w:val="left"/>
      <w:lvlText w:val="[***]"/>
      <w:numFmt w:val="bullet"/>
      <w:start w:val="1"/>
    </w:lvl>
  </w:abstractNum>
  <w:abstractNum w:abstractNumId="170">
    <w:nsid w:val="4B793735"/>
    <w:multiLevelType w:val="hybridMultilevel"/>
    <w:lvl w:ilvl="0">
      <w:lvlJc w:val="left"/>
      <w:lvlText w:val="(%1)"/>
      <w:numFmt w:val="lowerLetter"/>
      <w:start w:val="1"/>
    </w:lvl>
  </w:abstractNum>
  <w:abstractNum w:abstractNumId="171">
    <w:nsid w:val="4A10B4E8"/>
    <w:multiLevelType w:val="hybridMultilevel"/>
    <w:lvl w:ilvl="0">
      <w:lvlJc w:val="left"/>
      <w:lvlText w:val="(%1)"/>
      <w:numFmt w:val="lowerLetter"/>
      <w:start w:val="1"/>
    </w:lvl>
  </w:abstractNum>
  <w:abstractNum w:abstractNumId="172">
    <w:nsid w:val="43D3BCD4"/>
    <w:multiLevelType w:val="hybridMultilevel"/>
    <w:lvl w:ilvl="0">
      <w:lvlJc w:val="left"/>
      <w:lvlText w:val="(%1)"/>
      <w:numFmt w:val="lowerLetter"/>
      <w:start w:val="10"/>
    </w:lvl>
  </w:abstractNum>
  <w:abstractNum w:abstractNumId="173">
    <w:nsid w:val="4C2A7166"/>
    <w:multiLevelType w:val="hybridMultilevel"/>
    <w:lvl w:ilvl="0">
      <w:lvlJc w:val="left"/>
      <w:lvlText w:val="(%1)"/>
      <w:numFmt w:val="lowerLetter"/>
      <w:start w:val="1"/>
    </w:lvl>
  </w:abstractNum>
  <w:abstractNum w:abstractNumId="174">
    <w:nsid w:val="2E534A82"/>
    <w:multiLevelType w:val="hybridMultilevel"/>
    <w:lvl w:ilvl="0">
      <w:lvlJc w:val="left"/>
      <w:lvlText w:val="(%1)"/>
      <w:numFmt w:val="lowerLetter"/>
      <w:start w:val="6"/>
    </w:lvl>
  </w:abstractNum>
  <w:abstractNum w:abstractNumId="175">
    <w:nsid w:val="26F2D364"/>
    <w:multiLevelType w:val="hybridMultilevel"/>
    <w:lvl w:ilvl="0">
      <w:lvlJc w:val="left"/>
      <w:lvlText w:val="(%1)"/>
      <w:numFmt w:val="lowerLetter"/>
      <w:start w:val="1"/>
    </w:lvl>
  </w:abstractNum>
  <w:abstractNum w:abstractNumId="176">
    <w:nsid w:val="71C1AF98"/>
    <w:multiLevelType w:val="hybridMultilevel"/>
    <w:lvl w:ilvl="0">
      <w:lvlJc w:val="left"/>
      <w:lvlText w:val="(%1)"/>
      <w:numFmt w:val="lowerLetter"/>
      <w:start w:val="1"/>
    </w:lvl>
  </w:abstractNum>
  <w:abstractNum w:abstractNumId="177">
    <w:nsid w:val="3D00B9D9"/>
    <w:multiLevelType w:val="hybridMultilevel"/>
    <w:lvl w:ilvl="0">
      <w:lvlJc w:val="left"/>
      <w:lvlText w:val="(%1)"/>
      <w:numFmt w:val="lowerLetter"/>
      <w:start w:val="2"/>
    </w:lvl>
  </w:abstractNum>
  <w:abstractNum w:abstractNumId="178">
    <w:nsid w:val="15BCABA8"/>
    <w:multiLevelType w:val="hybridMultilevel"/>
    <w:lvl w:ilvl="0">
      <w:lvlJc w:val="left"/>
      <w:lvlText w:val="(%1)"/>
      <w:numFmt w:val="lowerLetter"/>
      <w:start w:val="1"/>
    </w:lvl>
  </w:abstractNum>
  <w:abstractNum w:abstractNumId="179">
    <w:nsid w:val="4E0B9A87"/>
    <w:multiLevelType w:val="hybridMultilevel"/>
    <w:lvl w:ilvl="0">
      <w:lvlJc w:val="left"/>
      <w:lvlText w:val="(%1)"/>
      <w:numFmt w:val="lowerLetter"/>
      <w:start w:val="1"/>
    </w:lvl>
  </w:abstractNum>
  <w:abstractNum w:abstractNumId="180">
    <w:nsid w:val="434BAE75"/>
    <w:multiLevelType w:val="hybridMultilevel"/>
    <w:lvl w:ilvl="0">
      <w:lvlJc w:val="left"/>
      <w:lvlText w:val="(%1)"/>
      <w:numFmt w:val="lowerLetter"/>
      <w:start w:val="2"/>
    </w:lvl>
  </w:abstractNum>
  <w:abstractNum w:abstractNumId="181">
    <w:nsid w:val="4F38F265"/>
    <w:multiLevelType w:val="hybridMultilevel"/>
    <w:lvl w:ilvl="0">
      <w:lvlJc w:val="left"/>
      <w:lvlText w:val="(%1)"/>
      <w:numFmt w:val="lowerLetter"/>
      <w:start w:val="1"/>
    </w:lvl>
    <w:lvl w:ilvl="1">
      <w:lvlJc w:val="left"/>
      <w:lvlText w:val="(%2)"/>
      <w:numFmt w:val="lowerRoman"/>
      <w:start w:val="1"/>
    </w:lvl>
  </w:abstractNum>
  <w:abstractNum w:abstractNumId="182">
    <w:nsid w:val="4C502870"/>
    <w:multiLevelType w:val="hybridMultilevel"/>
    <w:lvl w:ilvl="0">
      <w:lvlJc w:val="left"/>
      <w:lvlText w:val="[***]"/>
      <w:numFmt w:val="bullet"/>
      <w:start w:val="1"/>
    </w:lvl>
    <w:lvl w:ilvl="1">
      <w:lvlJc w:val="left"/>
      <w:lvlText w:val="(%2)"/>
      <w:numFmt w:val="lowerLetter"/>
      <w:start w:val="1"/>
    </w:lvl>
  </w:abstractNum>
  <w:abstractNum w:abstractNumId="183">
    <w:nsid w:val="1DE8725A"/>
    <w:multiLevelType w:val="hybridMultilevel"/>
    <w:lvl w:ilvl="0">
      <w:lvlJc w:val="left"/>
      <w:lvlText w:val="[***]"/>
      <w:numFmt w:val="bullet"/>
      <w:start w:val="1"/>
    </w:lvl>
    <w:lvl w:ilvl="1">
      <w:lvlJc w:val="left"/>
      <w:lvlText w:val="(%2)"/>
      <w:numFmt w:val="lowerLetter"/>
      <w:start w:val="3"/>
    </w:lvl>
  </w:abstractNum>
  <w:abstractNum w:abstractNumId="184">
    <w:nsid w:val="6A37288A"/>
    <w:multiLevelType w:val="hybridMultilevel"/>
    <w:lvl w:ilvl="0">
      <w:lvlJc w:val="left"/>
      <w:lvlText w:val="(%1)"/>
      <w:numFmt w:val="lowerLetter"/>
      <w:start w:val="1"/>
    </w:lvl>
  </w:abstractNum>
  <w:abstractNum w:abstractNumId="185">
    <w:nsid w:val="8F8B73F"/>
    <w:multiLevelType w:val="hybridMultilevel"/>
    <w:lvl w:ilvl="0">
      <w:lvlJc w:val="left"/>
      <w:lvlText w:val="(%1)"/>
      <w:numFmt w:val="lowerLetter"/>
      <w:start w:val="1"/>
    </w:lvl>
  </w:abstractNum>
  <w:abstractNum w:abstractNumId="186">
    <w:nsid w:val="CA6B462"/>
    <w:multiLevelType w:val="hybridMultilevel"/>
    <w:lvl w:ilvl="0">
      <w:lvlJc w:val="left"/>
      <w:lvlText w:val="(%1)"/>
      <w:numFmt w:val="lowerLetter"/>
      <w:start w:val="2"/>
    </w:lvl>
  </w:abstractNum>
  <w:abstractNum w:abstractNumId="187">
    <w:nsid w:val="763CB680"/>
    <w:multiLevelType w:val="hybridMultilevel"/>
    <w:lvl w:ilvl="0">
      <w:lvlJc w:val="left"/>
      <w:lvlText w:val="(%1)"/>
      <w:numFmt w:val="lowerLetter"/>
      <w:start w:val="1"/>
    </w:lvl>
  </w:abstractNum>
  <w:abstractNum w:abstractNumId="188">
    <w:nsid w:val="15B71329"/>
    <w:multiLevelType w:val="hybridMultilevel"/>
    <w:lvl w:ilvl="0">
      <w:lvlJc w:val="left"/>
      <w:lvlText w:val="(%1)"/>
      <w:numFmt w:val="lowerLetter"/>
      <w:start w:val="5"/>
    </w:lvl>
  </w:abstractNum>
  <w:abstractNum w:abstractNumId="189">
    <w:nsid w:val="3DA97044"/>
    <w:multiLevelType w:val="hybridMultilevel"/>
    <w:lvl w:ilvl="0">
      <w:lvlJc w:val="left"/>
      <w:lvlText w:val="(%1)"/>
      <w:numFmt w:val="lowerLetter"/>
      <w:start w:val="1"/>
    </w:lvl>
  </w:abstractNum>
  <w:abstractNum w:abstractNumId="190">
    <w:nsid w:val="1CDCE2DE"/>
    <w:multiLevelType w:val="hybridMultilevel"/>
    <w:lvl w:ilvl="0">
      <w:lvlJc w:val="left"/>
      <w:lvlText w:val="(%1)"/>
      <w:numFmt w:val="lowerLetter"/>
      <w:start w:val="1"/>
    </w:lvl>
  </w:abstractNum>
  <w:abstractNum w:abstractNumId="191">
    <w:nsid w:val="69D3947C"/>
    <w:multiLevelType w:val="hybridMultilevel"/>
    <w:lvl w:ilvl="0">
      <w:lvlJc w:val="left"/>
      <w:lvlText w:val="(%1)"/>
      <w:numFmt w:val="lowerLetter"/>
      <w:start w:val="2"/>
    </w:lvl>
  </w:abstractNum>
  <w:abstractNum w:abstractNumId="192">
    <w:nsid w:val="2539DFA5"/>
    <w:multiLevelType w:val="hybridMultilevel"/>
    <w:lvl w:ilvl="0">
      <w:lvlJc w:val="left"/>
      <w:lvlText w:val="(%1)"/>
      <w:numFmt w:val="lowerLetter"/>
      <w:start w:val="1"/>
    </w:lvl>
    <w:lvl w:ilvl="1">
      <w:lvlJc w:val="left"/>
      <w:lvlText w:val="(%2)"/>
      <w:numFmt w:val="lowerRoman"/>
      <w:start w:val="1"/>
    </w:lvl>
  </w:abstractNum>
  <w:abstractNum w:abstractNumId="193">
    <w:nsid w:val="2DB88089"/>
    <w:multiLevelType w:val="hybridMultilevel"/>
    <w:lvl w:ilvl="0">
      <w:lvlJc w:val="left"/>
      <w:lvlText w:val="(%1)"/>
      <w:numFmt w:val="lowerLetter"/>
      <w:start w:val="1"/>
    </w:lvl>
  </w:abstractNum>
  <w:abstractNum w:abstractNumId="194">
    <w:nsid w:val="706B674E"/>
    <w:multiLevelType w:val="hybridMultilevel"/>
    <w:lvl w:ilvl="0">
      <w:lvlJc w:val="left"/>
      <w:lvlText w:val="(%1)"/>
      <w:numFmt w:val="lowerLetter"/>
      <w:start w:val="1"/>
    </w:lvl>
  </w:abstractNum>
  <w:abstractNum w:abstractNumId="195">
    <w:nsid w:val="2C106A57"/>
    <w:multiLevelType w:val="hybridMultilevel"/>
    <w:lvl w:ilvl="0">
      <w:lvlJc w:val="left"/>
      <w:lvlText w:val="(%1)"/>
      <w:numFmt w:val="upperLetter"/>
      <w:start w:val="1"/>
    </w:lvl>
  </w:abstractNum>
  <w:abstractNum w:abstractNumId="196">
    <w:nsid w:val="684EED59"/>
    <w:multiLevelType w:val="hybridMultilevel"/>
    <w:lvl w:ilvl="0">
      <w:lvlJc w:val="left"/>
      <w:lvlText w:val="(%1)"/>
      <w:numFmt w:val="lowerLetter"/>
      <w:start w:val="3"/>
    </w:lvl>
  </w:abstractNum>
  <w:abstractNum w:abstractNumId="197">
    <w:nsid w:val="545EE5D3"/>
    <w:multiLevelType w:val="hybridMultilevel"/>
    <w:lvl w:ilvl="0">
      <w:lvlJc w:val="left"/>
      <w:lvlText w:val="1"/>
      <w:numFmt w:val="bullet"/>
      <w:start w:val="1"/>
    </w:lvl>
  </w:abstractNum>
  <w:abstractNum w:abstractNumId="198">
    <w:nsid w:val="4A66051"/>
    <w:multiLevelType w:val="hybridMultilevel"/>
    <w:lvl w:ilvl="0">
      <w:lvlJc w:val="left"/>
      <w:lvlText w:val="2"/>
      <w:numFmt w:val="bullet"/>
      <w:start w:val="1"/>
    </w:lvl>
  </w:abstractNum>
  <w:abstractNum w:abstractNumId="199">
    <w:nsid w:val="20F4BDAD"/>
    <w:multiLevelType w:val="hybridMultilevel"/>
    <w:lvl w:ilvl="0">
      <w:lvlJc w:val="left"/>
      <w:lvlText w:val="3"/>
      <w:numFmt w:val="bullet"/>
      <w:start w:val="1"/>
    </w:lvl>
  </w:abstractNum>
  <w:abstractNum w:abstractNumId="200">
    <w:nsid w:val="639DEFAC"/>
    <w:multiLevelType w:val="hybridMultilevel"/>
    <w:lvl w:ilvl="0">
      <w:lvlJc w:val="left"/>
      <w:lvlText w:val="4"/>
      <w:numFmt w:val="bullet"/>
      <w:start w:val="1"/>
    </w:lvl>
  </w:abstractNum>
  <w:abstractNum w:abstractNumId="201">
    <w:nsid w:val="501F9786"/>
    <w:multiLevelType w:val="hybridMultilevel"/>
    <w:lvl w:ilvl="0">
      <w:lvlJc w:val="left"/>
      <w:lvlText w:val="-"/>
      <w:numFmt w:val="bullet"/>
      <w:start w:val="1"/>
    </w:lvl>
  </w:abstractNum>
  <w:abstractNum w:abstractNumId="202">
    <w:nsid w:val="6B057295"/>
    <w:multiLevelType w:val="hybridMultilevel"/>
    <w:lvl w:ilvl="0">
      <w:lvlJc w:val="left"/>
      <w:lvlText w:val=" "/>
      <w:numFmt w:val="bullet"/>
      <w:start w:val="1"/>
    </w:lvl>
  </w:abstractNum>
  <w:abstractNum w:abstractNumId="203">
    <w:nsid w:val="2771AC80"/>
    <w:multiLevelType w:val="hybridMultilevel"/>
    <w:lvl w:ilvl="0">
      <w:lvlJc w:val="left"/>
      <w:lvlText w:val=" "/>
      <w:numFmt w:val="bullet"/>
      <w:start w:val="1"/>
    </w:lvl>
  </w:abstractNum>
  <w:abstractNum w:abstractNumId="204">
    <w:nsid w:val="1C4A08EC"/>
    <w:multiLevelType w:val="hybridMultilevel"/>
    <w:lvl w:ilvl="0">
      <w:lvlJc w:val="left"/>
      <w:lvlText w:val="5"/>
      <w:numFmt w:val="bullet"/>
      <w:start w:val="1"/>
    </w:lvl>
  </w:abstractNum>
  <w:abstractNum w:abstractNumId="205">
    <w:nsid w:val="1958BD17"/>
    <w:multiLevelType w:val="hybridMultilevel"/>
    <w:lvl w:ilvl="0">
      <w:lvlJc w:val="left"/>
      <w:lvlText w:val=" "/>
      <w:numFmt w:val="bullet"/>
      <w:start w:val="1"/>
    </w:lvl>
  </w:abstractNum>
  <w:abstractNum w:abstractNumId="206">
    <w:nsid w:val="4E647FE4"/>
    <w:multiLevelType w:val="hybridMultilevel"/>
    <w:lvl w:ilvl="0">
      <w:lvlJc w:val="left"/>
      <w:lvlText w:val=" "/>
      <w:numFmt w:val="bullet"/>
      <w:start w:val="1"/>
    </w:lvl>
  </w:abstractNum>
  <w:abstractNum w:abstractNumId="207">
    <w:nsid w:val="E0BB885"/>
    <w:multiLevelType w:val="hybridMultilevel"/>
    <w:lvl w:ilvl="0">
      <w:lvlJc w:val="left"/>
      <w:lvlText w:val="(%1)"/>
      <w:numFmt w:val="decimal"/>
      <w:start w:val="1"/>
    </w:lvl>
  </w:abstractNum>
  <w:abstractNum w:abstractNumId="208">
    <w:nsid w:val="565976F1"/>
    <w:multiLevelType w:val="hybridMultilevel"/>
    <w:lvl w:ilvl="0">
      <w:lvlJc w:val="left"/>
      <w:lvlText w:val="6"/>
      <w:numFmt w:val="bullet"/>
      <w:start w:val="1"/>
    </w:lvl>
  </w:abstractNum>
  <w:abstractNum w:abstractNumId="209">
    <w:nsid w:val="64212B8C"/>
    <w:multiLevelType w:val="hybridMultilevel"/>
    <w:lvl w:ilvl="0">
      <w:lvlJc w:val="left"/>
      <w:lvlText w:val=" "/>
      <w:numFmt w:val="bullet"/>
      <w:start w:val="1"/>
    </w:lvl>
  </w:abstractNum>
  <w:abstractNum w:abstractNumId="210">
    <w:nsid w:val="5C17530C"/>
    <w:multiLevelType w:val="hybridMultilevel"/>
    <w:lvl w:ilvl="0">
      <w:lvlJc w:val="left"/>
      <w:lvlText w:val=" "/>
      <w:numFmt w:val="bullet"/>
      <w:start w:val="1"/>
    </w:lvl>
    <w:lvl w:ilvl="1">
      <w:lvlJc w:val="left"/>
      <w:lvlText w:val="o"/>
      <w:numFmt w:val="bullet"/>
      <w:start w:val="1"/>
    </w:lvl>
  </w:abstractNum>
  <w:abstractNum w:abstractNumId="211">
    <w:nsid w:val="19A52566"/>
    <w:multiLevelType w:val="hybridMultilevel"/>
    <w:lvl w:ilvl="0">
      <w:lvlJc w:val="left"/>
      <w:lvlText w:val="7"/>
      <w:numFmt w:val="bullet"/>
      <w:start w:val="1"/>
    </w:lvl>
  </w:abstractNum>
  <w:abstractNum w:abstractNumId="212">
    <w:nsid w:val="335A1DF1"/>
    <w:multiLevelType w:val="hybridMultilevel"/>
    <w:lvl w:ilvl="0">
      <w:lvlJc w:val="left"/>
      <w:lvlText w:val="%1."/>
      <w:numFmt w:val="decimal"/>
      <w:start w:val="1"/>
    </w:lvl>
  </w:abstractNum>
  <w:abstractNum w:abstractNumId="213">
    <w:nsid w:val="28677B7C"/>
    <w:multiLevelType w:val="hybridMultilevel"/>
    <w:lvl w:ilvl="0">
      <w:lvlJc w:val="left"/>
      <w:lvlText w:val="(%1)"/>
      <w:numFmt w:val="lowerLetter"/>
      <w:start w:val="1"/>
    </w:lvl>
  </w:abstractNum>
  <w:abstractNum w:abstractNumId="214">
    <w:nsid w:val="378D97C0"/>
    <w:multiLevelType w:val="hybridMultilevel"/>
    <w:lvl w:ilvl="0">
      <w:lvlJc w:val="left"/>
      <w:lvlText w:val="%1."/>
      <w:numFmt w:val="decimal"/>
      <w:start w:val="5"/>
    </w:lvl>
  </w:abstractNum>
  <w:abstractNum w:abstractNumId="215">
    <w:nsid w:val="1D91467C"/>
    <w:multiLevelType w:val="hybridMultilevel"/>
    <w:lvl w:ilvl="0">
      <w:lvlJc w:val="left"/>
      <w:lvlText w:val="(%1)"/>
      <w:numFmt w:val="lowerLetter"/>
      <w:start w:val="1"/>
    </w:lvl>
  </w:abstractNum>
  <w:abstractNum w:abstractNumId="216">
    <w:nsid w:val="316032BB"/>
    <w:multiLevelType w:val="hybridMultilevel"/>
    <w:lvl w:ilvl="0">
      <w:lvlJc w:val="left"/>
      <w:lvlText w:val="%1."/>
      <w:numFmt w:val="decimal"/>
      <w:start w:val="1"/>
    </w:lvl>
  </w:abstractNum>
  <w:abstractNum w:abstractNumId="217">
    <w:nsid w:val="44344C22"/>
    <w:multiLevelType w:val="hybridMultilevel"/>
    <w:lvl w:ilvl="0">
      <w:lvlJc w:val="left"/>
      <w:lvlText w:val="(%1)"/>
      <w:numFmt w:val="lowerLetter"/>
      <w:start w:val="1"/>
    </w:lvl>
  </w:abstractNum>
  <w:abstractNum w:abstractNumId="218">
    <w:nsid w:val="13CDFCFC"/>
    <w:multiLevelType w:val="hybridMultilevel"/>
    <w:lvl w:ilvl="0">
      <w:lvlJc w:val="left"/>
      <w:lvlText w:val="%1."/>
      <w:numFmt w:val="decimal"/>
      <w:start w:val="5"/>
    </w:lvl>
  </w:abstractNum>
  <w:abstractNum w:abstractNumId="219">
    <w:nsid w:val="471745E4"/>
    <w:multiLevelType w:val="hybridMultilevel"/>
    <w:lvl w:ilvl="0">
      <w:lvlJc w:val="left"/>
      <w:lvlText w:val="(%1)"/>
      <w:numFmt w:val="lowerLetter"/>
      <w:start w:val="1"/>
    </w:lvl>
  </w:abstractNum>
  <w:abstractNum w:abstractNumId="220">
    <w:nsid w:val="1DDBC66"/>
    <w:multiLevelType w:val="hybridMultilevel"/>
    <w:lvl w:ilvl="0">
      <w:lvlJc w:val="left"/>
      <w:lvlText w:val="(%1)"/>
      <w:numFmt w:val="decimal"/>
      <w:start w:val="1"/>
    </w:lvl>
  </w:abstractNum>
  <w:abstractNum w:abstractNumId="221">
    <w:nsid w:val="30AADFDA"/>
    <w:multiLevelType w:val="hybridMultilevel"/>
    <w:lvl w:ilvl="0">
      <w:lvlJc w:val="left"/>
      <w:lvlText w:val="(%1)"/>
      <w:numFmt w:val="decimal"/>
      <w:start w:val="1"/>
    </w:lvl>
  </w:abstractNum>
  <w:abstractNum w:abstractNumId="222">
    <w:nsid w:val="30EADA61"/>
    <w:multiLevelType w:val="hybridMultilevel"/>
    <w:lvl w:ilvl="0">
      <w:lvlJc w:val="left"/>
      <w:lvlText w:val="1"/>
      <w:numFmt w:val="bullet"/>
      <w:start w:val="1"/>
    </w:lvl>
  </w:abstractNum>
  <w:abstractNum w:abstractNumId="223">
    <w:nsid w:val="27179C0B"/>
    <w:multiLevelType w:val="hybridMultilevel"/>
    <w:lvl w:ilvl="0">
      <w:lvlJc w:val="left"/>
      <w:lvlText w:val="2"/>
      <w:numFmt w:val="bullet"/>
      <w:start w:val="1"/>
    </w:lvl>
  </w:abstractNum>
  <w:abstractNum w:abstractNumId="224">
    <w:nsid w:val="5E636063"/>
    <w:multiLevelType w:val="hybridMultilevel"/>
    <w:lvl w:ilvl="0">
      <w:lvlJc w:val="left"/>
      <w:lvlText w:val="3"/>
      <w:numFmt w:val="bullet"/>
      <w:start w:val="1"/>
    </w:lvl>
  </w:abstractNum>
  <w:abstractNum w:abstractNumId="225">
    <w:nsid w:val="215641AF"/>
    <w:multiLevelType w:val="hybridMultilevel"/>
    <w:lvl w:ilvl="0">
      <w:lvlJc w:val="left"/>
      <w:lvlText w:val="4"/>
      <w:numFmt w:val="bullet"/>
      <w:start w:val="1"/>
    </w:lvl>
  </w:abstractNum>
  <w:abstractNum w:abstractNumId="226">
    <w:nsid w:val="53280662"/>
    <w:multiLevelType w:val="hybridMultilevel"/>
    <w:lvl w:ilvl="0">
      <w:lvlJc w:val="left"/>
      <w:lvlText w:val="5"/>
      <w:numFmt w:val="bullet"/>
      <w:start w:val="1"/>
    </w:lvl>
  </w:abstractNum>
  <w:abstractNum w:abstractNumId="227">
    <w:nsid w:val="46B24DBC"/>
    <w:multiLevelType w:val="hybridMultilevel"/>
    <w:lvl w:ilvl="0">
      <w:lvlJc w:val="left"/>
      <w:lvlText w:val="6"/>
      <w:numFmt w:val="bullet"/>
      <w:start w:val="1"/>
    </w:lvl>
  </w:abstractNum>
  <w:abstractNum w:abstractNumId="228">
    <w:nsid w:val="75B52783"/>
    <w:multiLevelType w:val="hybridMultilevel"/>
    <w:lvl w:ilvl="0">
      <w:lvlJc w:val="left"/>
      <w:lvlText w:val="7"/>
      <w:numFmt w:val="bullet"/>
      <w:start w:val="1"/>
    </w:lvl>
  </w:abstractNum>
  <w:abstractNum w:abstractNumId="229">
    <w:nsid w:val="57CE66B4"/>
    <w:multiLevelType w:val="hybridMultilevel"/>
    <w:lvl w:ilvl="0">
      <w:lvlJc w:val="left"/>
      <w:lvlText w:val="8"/>
      <w:numFmt w:val="bullet"/>
      <w:start w:val="1"/>
    </w:lvl>
  </w:abstractNum>
  <w:abstractNum w:abstractNumId="230">
    <w:nsid w:val="67A70B69"/>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58" Type="http://schemas.openxmlformats.org/officeDocument/2006/relationships/image" Target="media/image739.png"/><Relationship Id="rId772" Type="http://schemas.openxmlformats.org/officeDocument/2006/relationships/image" Target="media/image740.png"/><Relationship Id="rId775" Type="http://schemas.openxmlformats.org/officeDocument/2006/relationships/image" Target="media/image741.png"/><Relationship Id="rId776" Type="http://schemas.openxmlformats.org/officeDocument/2006/relationships/image" Target="media/image742.png"/><Relationship Id="rId777" Type="http://schemas.openxmlformats.org/officeDocument/2006/relationships/image" Target="media/image743.png"/><Relationship Id="rId778" Type="http://schemas.openxmlformats.org/officeDocument/2006/relationships/image" Target="media/image744.png"/><Relationship Id="rId779" Type="http://schemas.openxmlformats.org/officeDocument/2006/relationships/image" Target="media/image745.png"/><Relationship Id="rId780" Type="http://schemas.openxmlformats.org/officeDocument/2006/relationships/image" Target="media/image746.png"/><Relationship Id="rId781" Type="http://schemas.openxmlformats.org/officeDocument/2006/relationships/image" Target="media/image747.png"/><Relationship Id="rId782" Type="http://schemas.openxmlformats.org/officeDocument/2006/relationships/image" Target="media/image748.png"/><Relationship Id="rId783" Type="http://schemas.openxmlformats.org/officeDocument/2006/relationships/image" Target="media/image749.png"/><Relationship Id="rId784" Type="http://schemas.openxmlformats.org/officeDocument/2006/relationships/image" Target="media/image750.png"/><Relationship Id="rId785" Type="http://schemas.openxmlformats.org/officeDocument/2006/relationships/image" Target="media/image751.png"/><Relationship Id="rId786" Type="http://schemas.openxmlformats.org/officeDocument/2006/relationships/image" Target="media/image752.png"/><Relationship Id="rId787" Type="http://schemas.openxmlformats.org/officeDocument/2006/relationships/image" Target="media/image753.png"/><Relationship Id="rId788" Type="http://schemas.openxmlformats.org/officeDocument/2006/relationships/image" Target="media/image754.png"/><Relationship Id="rId789" Type="http://schemas.openxmlformats.org/officeDocument/2006/relationships/image" Target="media/image755.png"/><Relationship Id="rId790" Type="http://schemas.openxmlformats.org/officeDocument/2006/relationships/image" Target="media/image756.png"/><Relationship Id="rId791" Type="http://schemas.openxmlformats.org/officeDocument/2006/relationships/image" Target="media/image757.png"/><Relationship Id="rId792" Type="http://schemas.openxmlformats.org/officeDocument/2006/relationships/image" Target="media/image758.png"/><Relationship Id="rId793" Type="http://schemas.openxmlformats.org/officeDocument/2006/relationships/image" Target="media/image759.png"/><Relationship Id="rId794" Type="http://schemas.openxmlformats.org/officeDocument/2006/relationships/image" Target="media/image760.png"/><Relationship Id="rId795" Type="http://schemas.openxmlformats.org/officeDocument/2006/relationships/image" Target="media/image761.png"/><Relationship Id="rId796" Type="http://schemas.openxmlformats.org/officeDocument/2006/relationships/image" Target="media/image762.png"/><Relationship Id="rId797" Type="http://schemas.openxmlformats.org/officeDocument/2006/relationships/image" Target="media/image763.png"/><Relationship Id="rId798" Type="http://schemas.openxmlformats.org/officeDocument/2006/relationships/image" Target="media/image764.png"/><Relationship Id="rId799" Type="http://schemas.openxmlformats.org/officeDocument/2006/relationships/image" Target="media/image765.png"/><Relationship Id="rId800" Type="http://schemas.openxmlformats.org/officeDocument/2006/relationships/image" Target="media/image766.png"/><Relationship Id="rId801" Type="http://schemas.openxmlformats.org/officeDocument/2006/relationships/image" Target="media/image767.png"/><Relationship Id="rId802" Type="http://schemas.openxmlformats.org/officeDocument/2006/relationships/image" Target="media/image768.png"/><Relationship Id="rId803" Type="http://schemas.openxmlformats.org/officeDocument/2006/relationships/image" Target="media/image769.png"/><Relationship Id="rId804" Type="http://schemas.openxmlformats.org/officeDocument/2006/relationships/image" Target="media/image770.png"/><Relationship Id="rId805" Type="http://schemas.openxmlformats.org/officeDocument/2006/relationships/image" Target="media/image771.png"/><Relationship Id="rId806" Type="http://schemas.openxmlformats.org/officeDocument/2006/relationships/image" Target="media/image772.png"/><Relationship Id="rId807" Type="http://schemas.openxmlformats.org/officeDocument/2006/relationships/image" Target="media/image773.png"/><Relationship Id="rId808" Type="http://schemas.openxmlformats.org/officeDocument/2006/relationships/image" Target="media/image774.png"/><Relationship Id="rId809" Type="http://schemas.openxmlformats.org/officeDocument/2006/relationships/image" Target="media/image775.png"/><Relationship Id="rId810" Type="http://schemas.openxmlformats.org/officeDocument/2006/relationships/image" Target="media/image776.png"/><Relationship Id="rId811" Type="http://schemas.openxmlformats.org/officeDocument/2006/relationships/image" Target="media/image777.png"/><Relationship Id="rId812" Type="http://schemas.openxmlformats.org/officeDocument/2006/relationships/image" Target="media/image778.png"/><Relationship Id="rId813" Type="http://schemas.openxmlformats.org/officeDocument/2006/relationships/image" Target="media/image779.png"/><Relationship Id="rId814" Type="http://schemas.openxmlformats.org/officeDocument/2006/relationships/image" Target="media/image780.png"/><Relationship Id="rId815" Type="http://schemas.openxmlformats.org/officeDocument/2006/relationships/image" Target="media/image781.png"/><Relationship Id="rId816" Type="http://schemas.openxmlformats.org/officeDocument/2006/relationships/image" Target="media/image782.png"/><Relationship Id="rId817" Type="http://schemas.openxmlformats.org/officeDocument/2006/relationships/image" Target="media/image783.png"/><Relationship Id="rId818" Type="http://schemas.openxmlformats.org/officeDocument/2006/relationships/image" Target="media/image784.png"/><Relationship Id="rId819" Type="http://schemas.openxmlformats.org/officeDocument/2006/relationships/image" Target="media/image785.png"/><Relationship Id="rId820" Type="http://schemas.openxmlformats.org/officeDocument/2006/relationships/image" Target="media/image786.png"/><Relationship Id="rId821" Type="http://schemas.openxmlformats.org/officeDocument/2006/relationships/image" Target="media/image787.png"/><Relationship Id="rId822" Type="http://schemas.openxmlformats.org/officeDocument/2006/relationships/image" Target="media/image788.png"/><Relationship Id="rId823" Type="http://schemas.openxmlformats.org/officeDocument/2006/relationships/image" Target="media/image789.png"/><Relationship Id="rId824" Type="http://schemas.openxmlformats.org/officeDocument/2006/relationships/image" Target="media/image790.png"/><Relationship Id="rId825" Type="http://schemas.openxmlformats.org/officeDocument/2006/relationships/image" Target="media/image791.png"/><Relationship Id="rId826" Type="http://schemas.openxmlformats.org/officeDocument/2006/relationships/image" Target="media/image792.png"/><Relationship Id="rId827" Type="http://schemas.openxmlformats.org/officeDocument/2006/relationships/image" Target="media/image793.png"/><Relationship Id="rId828" Type="http://schemas.openxmlformats.org/officeDocument/2006/relationships/image" Target="media/image794.png"/><Relationship Id="rId829" Type="http://schemas.openxmlformats.org/officeDocument/2006/relationships/image" Target="media/image795.png"/><Relationship Id="rId830" Type="http://schemas.openxmlformats.org/officeDocument/2006/relationships/image" Target="media/image796.png"/><Relationship Id="rId831" Type="http://schemas.openxmlformats.org/officeDocument/2006/relationships/image" Target="media/image797.png"/><Relationship Id="rId832" Type="http://schemas.openxmlformats.org/officeDocument/2006/relationships/image" Target="media/image798.png"/><Relationship Id="rId833" Type="http://schemas.openxmlformats.org/officeDocument/2006/relationships/image" Target="media/image799.png"/><Relationship Id="rId834" Type="http://schemas.openxmlformats.org/officeDocument/2006/relationships/image" Target="media/image800.png"/><Relationship Id="rId835" Type="http://schemas.openxmlformats.org/officeDocument/2006/relationships/image" Target="media/image801.png"/><Relationship Id="rId836" Type="http://schemas.openxmlformats.org/officeDocument/2006/relationships/image" Target="media/image802.png"/><Relationship Id="rId837" Type="http://schemas.openxmlformats.org/officeDocument/2006/relationships/image" Target="media/image803.png"/><Relationship Id="rId838" Type="http://schemas.openxmlformats.org/officeDocument/2006/relationships/image" Target="media/image804.png"/><Relationship Id="rId839" Type="http://schemas.openxmlformats.org/officeDocument/2006/relationships/image" Target="media/image805.png"/><Relationship Id="rId840" Type="http://schemas.openxmlformats.org/officeDocument/2006/relationships/image" Target="media/image806.png"/><Relationship Id="rId841" Type="http://schemas.openxmlformats.org/officeDocument/2006/relationships/image" Target="media/image807.png"/><Relationship Id="rId842" Type="http://schemas.openxmlformats.org/officeDocument/2006/relationships/image" Target="media/image808.png"/><Relationship Id="rId843" Type="http://schemas.openxmlformats.org/officeDocument/2006/relationships/image" Target="media/image809.png"/><Relationship Id="rId844" Type="http://schemas.openxmlformats.org/officeDocument/2006/relationships/image" Target="media/image810.png"/><Relationship Id="rId845" Type="http://schemas.openxmlformats.org/officeDocument/2006/relationships/image" Target="media/image811.png"/><Relationship Id="rId846" Type="http://schemas.openxmlformats.org/officeDocument/2006/relationships/image" Target="media/image812.png"/><Relationship Id="rId847" Type="http://schemas.openxmlformats.org/officeDocument/2006/relationships/image" Target="media/image813.png"/><Relationship Id="rId848" Type="http://schemas.openxmlformats.org/officeDocument/2006/relationships/image" Target="media/image814.png"/><Relationship Id="rId849" Type="http://schemas.openxmlformats.org/officeDocument/2006/relationships/image" Target="media/image815.png"/><Relationship Id="rId850" Type="http://schemas.openxmlformats.org/officeDocument/2006/relationships/image" Target="media/image816.png"/><Relationship Id="rId851" Type="http://schemas.openxmlformats.org/officeDocument/2006/relationships/image" Target="media/image817.png"/><Relationship Id="rId852" Type="http://schemas.openxmlformats.org/officeDocument/2006/relationships/image" Target="media/image818.png"/><Relationship Id="rId853" Type="http://schemas.openxmlformats.org/officeDocument/2006/relationships/image" Target="media/image819.png"/><Relationship Id="rId854" Type="http://schemas.openxmlformats.org/officeDocument/2006/relationships/image" Target="media/image820.png"/><Relationship Id="rId855" Type="http://schemas.openxmlformats.org/officeDocument/2006/relationships/image" Target="media/image821.png"/><Relationship Id="rId856" Type="http://schemas.openxmlformats.org/officeDocument/2006/relationships/image" Target="media/image822.png"/><Relationship Id="rId857" Type="http://schemas.openxmlformats.org/officeDocument/2006/relationships/image" Target="media/image823.png"/><Relationship Id="rId858" Type="http://schemas.openxmlformats.org/officeDocument/2006/relationships/image" Target="media/image824.png"/><Relationship Id="rId859" Type="http://schemas.openxmlformats.org/officeDocument/2006/relationships/image" Target="media/image825.png"/><Relationship Id="rId860" Type="http://schemas.openxmlformats.org/officeDocument/2006/relationships/image" Target="media/image826.png"/><Relationship Id="rId861" Type="http://schemas.openxmlformats.org/officeDocument/2006/relationships/image" Target="media/image827.png"/><Relationship Id="rId862" Type="http://schemas.openxmlformats.org/officeDocument/2006/relationships/image" Target="media/image828.png"/><Relationship Id="rId863" Type="http://schemas.openxmlformats.org/officeDocument/2006/relationships/image" Target="media/image829.png"/><Relationship Id="rId864" Type="http://schemas.openxmlformats.org/officeDocument/2006/relationships/image" Target="media/image830.png"/><Relationship Id="rId865" Type="http://schemas.openxmlformats.org/officeDocument/2006/relationships/image" Target="media/image831.png"/><Relationship Id="rId866" Type="http://schemas.openxmlformats.org/officeDocument/2006/relationships/image" Target="media/image832.png"/><Relationship Id="rId867" Type="http://schemas.openxmlformats.org/officeDocument/2006/relationships/image" Target="media/image833.png"/><Relationship Id="rId868" Type="http://schemas.openxmlformats.org/officeDocument/2006/relationships/image" Target="media/image834.png"/><Relationship Id="rId869" Type="http://schemas.openxmlformats.org/officeDocument/2006/relationships/image" Target="media/image835.png"/><Relationship Id="rId870" Type="http://schemas.openxmlformats.org/officeDocument/2006/relationships/image" Target="media/image836.jpeg"/><Relationship Id="rId871" Type="http://schemas.openxmlformats.org/officeDocument/2006/relationships/image" Target="media/image837.png"/><Relationship Id="rId872" Type="http://schemas.openxmlformats.org/officeDocument/2006/relationships/image" Target="media/image838.png"/><Relationship Id="rId873" Type="http://schemas.openxmlformats.org/officeDocument/2006/relationships/image" Target="media/image839.png"/><Relationship Id="rId874" Type="http://schemas.openxmlformats.org/officeDocument/2006/relationships/image" Target="media/image840.png"/><Relationship Id="rId875" Type="http://schemas.openxmlformats.org/officeDocument/2006/relationships/image" Target="media/image841.png"/><Relationship Id="rId876" Type="http://schemas.openxmlformats.org/officeDocument/2006/relationships/image" Target="media/image842.png"/><Relationship Id="rId877" Type="http://schemas.openxmlformats.org/officeDocument/2006/relationships/image" Target="media/image843.png"/><Relationship Id="rId878" Type="http://schemas.openxmlformats.org/officeDocument/2006/relationships/image" Target="media/image844.png"/><Relationship Id="rId879" Type="http://schemas.openxmlformats.org/officeDocument/2006/relationships/image" Target="media/image845.png"/><Relationship Id="rId880" Type="http://schemas.openxmlformats.org/officeDocument/2006/relationships/image" Target="media/image846.png"/><Relationship Id="rId881" Type="http://schemas.openxmlformats.org/officeDocument/2006/relationships/image" Target="media/image847.png"/><Relationship Id="rId882" Type="http://schemas.openxmlformats.org/officeDocument/2006/relationships/image" Target="media/image848.png"/><Relationship Id="rId883" Type="http://schemas.openxmlformats.org/officeDocument/2006/relationships/image" Target="media/image849.png"/><Relationship Id="rId884" Type="http://schemas.openxmlformats.org/officeDocument/2006/relationships/image" Target="media/image850.png"/><Relationship Id="rId885" Type="http://schemas.openxmlformats.org/officeDocument/2006/relationships/image" Target="media/image851.png"/><Relationship Id="rId886" Type="http://schemas.openxmlformats.org/officeDocument/2006/relationships/image" Target="media/image852.png"/><Relationship Id="rId887" Type="http://schemas.openxmlformats.org/officeDocument/2006/relationships/image" Target="media/image853.png"/><Relationship Id="rId888" Type="http://schemas.openxmlformats.org/officeDocument/2006/relationships/image" Target="media/image854.png"/><Relationship Id="rId889" Type="http://schemas.openxmlformats.org/officeDocument/2006/relationships/image" Target="media/image855.png"/><Relationship Id="rId890" Type="http://schemas.openxmlformats.org/officeDocument/2006/relationships/image" Target="media/image856.png"/><Relationship Id="rId891" Type="http://schemas.openxmlformats.org/officeDocument/2006/relationships/image" Target="media/image857.png"/><Relationship Id="rId892" Type="http://schemas.openxmlformats.org/officeDocument/2006/relationships/image" Target="media/image858.png"/><Relationship Id="rId893" Type="http://schemas.openxmlformats.org/officeDocument/2006/relationships/image" Target="media/image859.png"/><Relationship Id="rId894" Type="http://schemas.openxmlformats.org/officeDocument/2006/relationships/image" Target="media/image860.png"/><Relationship Id="rId895" Type="http://schemas.openxmlformats.org/officeDocument/2006/relationships/image" Target="media/image861.png"/><Relationship Id="rId896" Type="http://schemas.openxmlformats.org/officeDocument/2006/relationships/image" Target="media/image862.png"/><Relationship Id="rId746" Type="http://schemas.openxmlformats.org/officeDocument/2006/relationships/hyperlink" Target="https://www.sec.gov/Archives/edgar/data/1612042/000119312524005924/d694929dex11.htm" TargetMode="External"/><Relationship Id="rId747" Type="http://schemas.openxmlformats.org/officeDocument/2006/relationships/hyperlink" Target="https://www.sec.gov/Archives/edgar/data/1612042/000119312516447629/d65395dex42.htm" TargetMode="External"/><Relationship Id="rId748" Type="http://schemas.openxmlformats.org/officeDocument/2006/relationships/hyperlink" Target="https://www.sec.gov/Archives/edgar/data/1612042/000119312514446974/d744944dex103a.htm" TargetMode="External"/><Relationship Id="rId749" Type="http://schemas.openxmlformats.org/officeDocument/2006/relationships/hyperlink" Target="https://www.sec.gov/Archives/edgar/data/1612042/000119312514446974/d744944dex103b.htm" TargetMode="External"/><Relationship Id="rId750" Type="http://schemas.openxmlformats.org/officeDocument/2006/relationships/hyperlink" Target="https://www.sec.gov/Archives/edgar/data/1612042/000119312514446974/d744944dex104b.htm" TargetMode="External"/><Relationship Id="rId751" Type="http://schemas.openxmlformats.org/officeDocument/2006/relationships/hyperlink" Target="https://www.sec.gov/Archives/edgar/data/1612042/000119312516543253/d163051dex44c.htm" TargetMode="External"/><Relationship Id="rId752" Type="http://schemas.openxmlformats.org/officeDocument/2006/relationships/hyperlink" Target="https://www.sec.gov/Archives/edgar/data/1612042/000119312515012416/d744944dex105.htm" TargetMode="External"/><Relationship Id="rId753" Type="http://schemas.openxmlformats.org/officeDocument/2006/relationships/hyperlink" Target="https://www.sec.gov/Archives/edgar/data/1612042/000119312515401787/d105019dex41.htm" TargetMode="External"/><Relationship Id="rId754" Type="http://schemas.openxmlformats.org/officeDocument/2006/relationships/hyperlink" Target="https://www.sec.gov/Archives/edgar/data/1612042/000119312516447629/d65395dex101.htm" TargetMode="External"/><Relationship Id="rId755" Type="http://schemas.openxmlformats.org/officeDocument/2006/relationships/hyperlink" Target="https://www.sec.gov/Archives/edgar/data/1612042/000119312518099514/d445343dex49.htm" TargetMode="External"/><Relationship Id="rId756" Type="http://schemas.openxmlformats.org/officeDocument/2006/relationships/hyperlink" Target="https://www.sec.gov/Archives/edgar/data/1612042/000119312518099514/d445343dex410.htm" TargetMode="External"/><Relationship Id="rId757" Type="http://schemas.openxmlformats.org/officeDocument/2006/relationships/hyperlink" Target="https://www.sec.gov/Archives/edgar/data/1612042/000119312519096759/d654369dex411.htm" TargetMode="External"/><Relationship Id="rId759" Type="http://schemas.openxmlformats.org/officeDocument/2006/relationships/hyperlink" Target="https://www.sec.gov/Archives/edgar/data/1612042/000119312519096759/d654369dex412.htm" TargetMode="External"/><Relationship Id="rId760" Type="http://schemas.openxmlformats.org/officeDocument/2006/relationships/hyperlink" Target="https://www.sec.gov/Archives/edgar/data/1612042/000119312519096759/d654369dex415.htm" TargetMode="External"/><Relationship Id="rId761" Type="http://schemas.openxmlformats.org/officeDocument/2006/relationships/hyperlink" Target="https://www.sec.gov/Archives/edgar/data/1612042/000119312519096759/d654369dex416.htm" TargetMode="External"/><Relationship Id="rId762" Type="http://schemas.openxmlformats.org/officeDocument/2006/relationships/hyperlink" Target="https://www.sec.gov/Archives/edgar/data/1612042/000119312519096759/d654369dex417.htm" TargetMode="External"/><Relationship Id="rId763" Type="http://schemas.openxmlformats.org/officeDocument/2006/relationships/hyperlink" Target="https://www.sec.gov/Archives/edgar/data/1612042/000119312520096870/d841629dex416.htm" TargetMode="External"/><Relationship Id="rId764" Type="http://schemas.openxmlformats.org/officeDocument/2006/relationships/hyperlink" Target="https://www.sec.gov/Archives/edgar/data/1612042/000119312520096870/d841629dex417.htm" TargetMode="External"/><Relationship Id="rId765" Type="http://schemas.openxmlformats.org/officeDocument/2006/relationships/hyperlink" Target="https://www.sec.gov/Archives/edgar/data/1612042/000119312522062998/d232088dex416.htm" TargetMode="External"/><Relationship Id="rId766" Type="http://schemas.openxmlformats.org/officeDocument/2006/relationships/hyperlink" Target="https://www.sec.gov/Archives/edgar/data/1612042/000119312522062998/d232088dex417.htm" TargetMode="External"/><Relationship Id="rId767" Type="http://schemas.openxmlformats.org/officeDocument/2006/relationships/hyperlink" Target="https://www.sec.gov/Archives/edgar/data/1612042/000119312522062998/d232088dex418.htm" TargetMode="External"/><Relationship Id="rId768" Type="http://schemas.openxmlformats.org/officeDocument/2006/relationships/hyperlink" Target="https://www.sec.gov/Archives/edgar/data/1612042/000119312521076349/d123790dex417.htm" TargetMode="External"/><Relationship Id="rId769" Type="http://schemas.openxmlformats.org/officeDocument/2006/relationships/hyperlink" Target="https://www.sec.gov/Archives/edgar/data/1612042/000119312521076349/d123790dex418.htm" TargetMode="External"/><Relationship Id="rId770" Type="http://schemas.openxmlformats.org/officeDocument/2006/relationships/hyperlink" Target="https://www.sec.gov/Archives/edgar/data/1612042/000119312521076349/d123790dex419.htm" TargetMode="External"/><Relationship Id="rId771" Type="http://schemas.openxmlformats.org/officeDocument/2006/relationships/hyperlink" Target="https://www.sec.gov/Archives/edgar/data/1612042/000119312521076349/d123790dex420.htm" TargetMode="External"/><Relationship Id="rId773" Type="http://schemas.openxmlformats.org/officeDocument/2006/relationships/hyperlink" Target="https://www.sec.gov/Archives/edgar/data/1612042/000119312523053801/d419347dex992.htm" TargetMode="External"/><Relationship Id="rId774" Type="http://schemas.openxmlformats.org/officeDocument/2006/relationships/hyperlink" Target="https://www.sec.gov/Archives/edgar/data/1612042/000119312523053801/d419347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2024-02-07T15:47:04Z</dcterms:created>
  <dcterms:modified xsi:type="dcterms:W3CDTF">2024-02-07T15:47:04Z</dcterms:modified>
</cp:coreProperties>
</file>