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40331.htm"/>
      <w:bookmarkStart w:id="1" w:name="ksasnd202403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May, 2024</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101(b)(1):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101(b)(7):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333-228576, 333-203040, 333-210810, 333-211512, 333-213412, 333-214843, 333-216883, 333-254101, 333-261550, 333-270088 and 333-277519)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Form 6-K Report</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the Company’s Unaudited Condensed Consolidated Interim Financial Statements as of and for the period ended March 31, 2024, including Management’s Discussion and Analysis of Financial Condition and Results of Operations for the period presented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1636"/>
        <w:gridCol w:w="109"/>
        <w:gridCol w:w="406"/>
        <w:gridCol w:w="384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163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163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538" w:type="dxa"/>
        <w:jc w:val="left"/>
        <w:tblInd w:w="0" w:type="dxa"/>
        <w:tblLayout w:type="fixed"/>
        <w:tblCellMar>
          <w:top w:w="28" w:type="dxa"/>
          <w:left w:w="28" w:type="dxa"/>
          <w:bottom w:w="28" w:type="dxa"/>
          <w:right w:w="28" w:type="dxa"/>
        </w:tblCellMar>
      </w:tblPr>
      <w:tblGrid>
        <w:gridCol w:w="511"/>
        <w:gridCol w:w="736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366" w:type="dxa"/>
            <w:tcBorders/>
            <w:vAlign w:val="center"/>
          </w:tcPr>
          <w:p>
            <w:pPr>
              <w:pStyle w:val="TableContents"/>
              <w:pBdr/>
              <w:bidi w:val="0"/>
              <w:spacing w:before="0" w:after="283"/>
              <w:ind w:left="0" w:right="0" w:hanging="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March 31, 2024</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366" w:type="dxa"/>
            <w:tcBorders/>
            <w:vAlign w:val="center"/>
          </w:tcPr>
          <w:p>
            <w:pPr>
              <w:pStyle w:val="TableContents"/>
              <w:pBdr/>
              <w:bidi w:val="0"/>
              <w:spacing w:before="0" w:after="283"/>
              <w:ind w:left="0" w:right="0" w:hanging="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tx355617_1"/>
      <w:bookmarkStart w:id="4" w:name="index"/>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24"/>
        <w:gridCol w:w="781"/>
      </w:tblGrid>
      <w:tr>
        <w:trPr/>
        <w:tc>
          <w:tcPr>
            <w:tcW w:w="94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9424" w:type="dxa"/>
            <w:tcBorders/>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4" w:type="dxa"/>
            <w:tcBorders/>
            <w:vAlign w:val="center"/>
          </w:tcPr>
          <w:p>
            <w:pPr>
              <w:pStyle w:val="TableContents"/>
              <w:pBdr/>
              <w:bidi w:val="0"/>
              <w:spacing w:before="0" w:after="283"/>
              <w:ind w:left="0" w:right="0" w:hanging="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 (Loss) for the Three Months Ended March 31, 2024 and 2023</w:t>
              </w:r>
            </w:hyperlink>
          </w:p>
        </w:tc>
        <w:tc>
          <w:tcPr>
            <w:tcW w:w="781"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4" w:type="dxa"/>
            <w:tcBorders/>
            <w:vAlign w:val="center"/>
          </w:tcPr>
          <w:p>
            <w:pPr>
              <w:pStyle w:val="TableContents"/>
              <w:pBdr/>
              <w:bidi w:val="0"/>
              <w:spacing w:before="0" w:after="283"/>
              <w:ind w:left="0" w:right="0" w:hanging="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March 31, 2024 and December 31, 2023</w:t>
              </w:r>
            </w:hyperlink>
          </w:p>
        </w:tc>
        <w:tc>
          <w:tcPr>
            <w:tcW w:w="781"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4" w:type="dxa"/>
            <w:tcBorders/>
            <w:vAlign w:val="center"/>
          </w:tcPr>
          <w:p>
            <w:pPr>
              <w:pStyle w:val="TableContents"/>
              <w:pBdr/>
              <w:bidi w:val="0"/>
              <w:spacing w:before="0" w:after="283"/>
              <w:ind w:left="0" w:right="0" w:hanging="240"/>
              <w:jc w:val="left"/>
              <w:rPr/>
            </w:pPr>
            <w:hyperlink w:anchor="una_cons_inter_state_of_chan_in_equity">
              <w:r>
                <w:rPr>
                  <w:rStyle w:val="InternetLink"/>
                  <w:rFonts w:ascii="Times New Roman" w:hAnsi="Times New Roman"/>
                  <w:color w:val="0000FF"/>
                  <w:sz w:val="20"/>
                  <w:u w:val="single"/>
                </w:rPr>
                <w:t>Unaudited Condensed Consolidated Interim Statements of Changes in Equity at March 31, 2024 and 2023</w:t>
              </w:r>
            </w:hyperlink>
          </w:p>
        </w:tc>
        <w:tc>
          <w:tcPr>
            <w:tcW w:w="781"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4" w:type="dxa"/>
            <w:tcBorders/>
            <w:vAlign w:val="center"/>
          </w:tcPr>
          <w:p>
            <w:pPr>
              <w:pStyle w:val="TableContents"/>
              <w:pBdr/>
              <w:bidi w:val="0"/>
              <w:spacing w:before="0" w:after="283"/>
              <w:ind w:left="0" w:right="0" w:hanging="240"/>
              <w:jc w:val="left"/>
              <w:rPr/>
            </w:pPr>
            <w:hyperlink w:anchor="unaudited_co_consolid_interim_cash_flow">
              <w:r>
                <w:rPr>
                  <w:rStyle w:val="InternetLink"/>
                  <w:rFonts w:ascii="Times New Roman" w:hAnsi="Times New Roman"/>
                  <w:color w:val="0000FF"/>
                  <w:sz w:val="20"/>
                  <w:u w:val="single"/>
                </w:rPr>
                <w:t>Unaudited Condensed Consolidated Interim Cash Flow Statements for the Three Months Ended March 31, 2024 and 2023</w:t>
              </w:r>
            </w:hyperlink>
          </w:p>
        </w:tc>
        <w:tc>
          <w:tcPr>
            <w:tcW w:w="781"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4" w:type="dxa"/>
            <w:tcBorders/>
            <w:vAlign w:val="center"/>
          </w:tcPr>
          <w:p>
            <w:pPr>
              <w:pStyle w:val="TableContents"/>
              <w:pBdr/>
              <w:bidi w:val="0"/>
              <w:spacing w:before="0" w:after="283"/>
              <w:ind w:left="0" w:right="0" w:hanging="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81" w:type="dxa"/>
            <w:tcBorders/>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Other Comprehensive Income or (Loss) for the Three Months Ended March 31, 2024 and 2023</w:t>
      </w:r>
    </w:p>
    <w:p>
      <w:pPr>
        <w:pStyle w:val="TextBody"/>
        <w:bidi w:val="0"/>
        <w:jc w:val="left"/>
        <w:rPr/>
      </w:pPr>
      <w:r>
        <w:rPr/>
        <w:t> </w:t>
      </w:r>
    </w:p>
    <w:tbl>
      <w:tblPr>
        <w:tblW w:w="9011" w:type="dxa"/>
        <w:jc w:val="left"/>
        <w:tblInd w:w="0" w:type="dxa"/>
        <w:tblLayout w:type="fixed"/>
        <w:tblCellMar>
          <w:top w:w="28" w:type="dxa"/>
          <w:left w:w="28" w:type="dxa"/>
          <w:bottom w:w="28" w:type="dxa"/>
          <w:right w:w="28" w:type="dxa"/>
        </w:tblCellMar>
      </w:tblPr>
      <w:tblGrid>
        <w:gridCol w:w="5161"/>
        <w:gridCol w:w="146"/>
        <w:gridCol w:w="511"/>
        <w:gridCol w:w="146"/>
        <w:gridCol w:w="226"/>
        <w:gridCol w:w="1036"/>
        <w:gridCol w:w="166"/>
        <w:gridCol w:w="146"/>
        <w:gridCol w:w="226"/>
        <w:gridCol w:w="1036"/>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Consolidated Statement of Profit or 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28,968</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106,114</w:t>
            </w:r>
          </w:p>
        </w:tc>
        <w:tc>
          <w:tcPr>
            <w:tcW w:w="2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(49,145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(143,685</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w:t>
            </w:r>
          </w:p>
        </w:tc>
        <w:tc>
          <w:tcPr>
            <w:tcW w:w="2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(109,617</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earnings/(loss) per share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Number of shares used for calculation (basic and diluted)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56,883,257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56,091,927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Consolidated Statement of Comprehensive Income or (Loss)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(110,914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subsequently to profit or loss: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rFonts w:ascii="Times New Roman" w:hAnsi="Times New Roman"/>
          <w:color w:val="000000"/>
          <w:sz w:val="16"/>
        </w:rPr>
        <w:t>As of March 31, 2024 and March 31, 2023, a total of 6,031,498</w:t>
      </w:r>
      <w:r>
        <w:rPr>
          <w:color w:val="000000"/>
        </w:rPr>
        <w:t xml:space="preserve"> </w:t>
      </w:r>
      <w:r>
        <w:rPr>
          <w:rFonts w:ascii="Times New Roman" w:hAnsi="Times New Roman"/>
          <w:color w:val="000000"/>
          <w:sz w:val="16"/>
        </w:rPr>
        <w:t>and 6,761,296</w:t>
      </w:r>
      <w:r>
        <w:rPr>
          <w:color w:val="000000"/>
        </w:rPr>
        <w:t xml:space="preserve"> </w:t>
      </w:r>
      <w:r>
        <w:rPr>
          <w:rFonts w:ascii="Times New Roman" w:hAnsi="Times New Roman"/>
          <w:color w:val="000000"/>
          <w:sz w:val="16"/>
        </w:rPr>
        <w:t>warrants outstanding, respectively, each carrying the right to subscribe for one ordinary share, and 575,000</w:t>
      </w:r>
      <w:r>
        <w:rPr>
          <w:color w:val="000000"/>
        </w:rPr>
        <w:t xml:space="preserve"> </w:t>
      </w:r>
      <w:r>
        <w:rPr>
          <w:rFonts w:ascii="Times New Roman" w:hAnsi="Times New Roman"/>
          <w:color w:val="000000"/>
          <w:sz w:val="16"/>
        </w:rPr>
        <w:t>convertible senior notes which can potentially be converted into 3,456,785</w:t>
      </w:r>
      <w:r>
        <w:rPr>
          <w:color w:val="000000"/>
        </w:rPr>
        <w:t xml:space="preserve"> </w:t>
      </w:r>
      <w:r>
        <w:rPr>
          <w:rFonts w:ascii="Times New Roman" w:hAnsi="Times New Roman"/>
          <w:color w:val="000000"/>
          <w:sz w:val="16"/>
        </w:rPr>
        <w:t xml:space="preserve">ordinary shares, can potentially dilute earnings per share in the future but have not been included in the calculation of diluted earnings per share because they are antidilutive for the periods presented.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w:t>
      </w:r>
      <w:r>
        <w:rPr>
          <w:rFonts w:ascii="Times New Roman" w:hAnsi="Times New Roman"/>
          <w:color w:val="000000"/>
          <w:sz w:val="20"/>
        </w:rPr>
        <w:t xml:space="preserve"> </w:t>
      </w:r>
    </w:p>
    <w:p>
      <w:pPr>
        <w:pStyle w:val="TextBody"/>
        <w:bidi w:val="0"/>
        <w:jc w:val="left"/>
        <w:rPr/>
      </w:pPr>
      <w:r>
        <w:rPr/>
        <w:t> </w:t>
      </w:r>
    </w:p>
    <w:tbl>
      <w:tblPr>
        <w:tblW w:w="6979" w:type="dxa"/>
        <w:jc w:val="left"/>
        <w:tblInd w:w="0" w:type="dxa"/>
        <w:tblLayout w:type="fixed"/>
        <w:tblCellMar>
          <w:top w:w="28" w:type="dxa"/>
          <w:left w:w="28" w:type="dxa"/>
          <w:bottom w:w="28" w:type="dxa"/>
          <w:right w:w="28" w:type="dxa"/>
        </w:tblCellMar>
      </w:tblPr>
      <w:tblGrid>
        <w:gridCol w:w="3481"/>
        <w:gridCol w:w="146"/>
        <w:gridCol w:w="511"/>
        <w:gridCol w:w="146"/>
        <w:gridCol w:w="146"/>
        <w:gridCol w:w="931"/>
        <w:gridCol w:w="166"/>
        <w:gridCol w:w="146"/>
        <w:gridCol w:w="162"/>
        <w:gridCol w:w="933"/>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associates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138,391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122,866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208,931</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222,996</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234,775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550,391</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94,566</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41,176</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736,509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059"/>
        <w:gridCol w:w="146"/>
        <w:gridCol w:w="146"/>
        <w:gridCol w:w="511"/>
        <w:gridCol w:w="146"/>
        <w:gridCol w:w="146"/>
        <w:gridCol w:w="146"/>
        <w:gridCol w:w="826"/>
        <w:gridCol w:w="146"/>
        <w:gridCol w:w="146"/>
        <w:gridCol w:w="192"/>
        <w:gridCol w:w="574"/>
        <w:gridCol w:w="166"/>
        <w:gridCol w:w="146"/>
        <w:gridCol w:w="264"/>
        <w:gridCol w:w="682"/>
        <w:gridCol w:w="146"/>
        <w:gridCol w:w="146"/>
        <w:gridCol w:w="148"/>
        <w:gridCol w:w="903"/>
        <w:gridCol w:w="166"/>
        <w:gridCol w:w="146"/>
        <w:gridCol w:w="146"/>
        <w:gridCol w:w="751"/>
        <w:gridCol w:w="211"/>
      </w:tblGrid>
      <w:tr>
        <w:trPr/>
        <w:tc>
          <w:tcPr>
            <w:tcW w:w="3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789"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05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2,123,074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(131,035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(131,035</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(130,972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05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17,281</w:t>
            </w:r>
          </w:p>
        </w:tc>
        <w:tc>
          <w:tcPr>
            <w:tcW w:w="211" w:type="dxa"/>
            <w:tcBorders/>
            <w:shd w:fill="FFFFFF" w:val="clear"/>
            <w:vAlign w:val="center"/>
          </w:tcPr>
          <w:p>
            <w:pPr>
              <w:pStyle w:val="TableContents"/>
              <w:bidi w:val="0"/>
              <w:spacing w:before="0" w:after="283"/>
              <w:jc w:val="left"/>
              <w:rPr/>
            </w:pPr>
            <w:r>
              <w:rPr/>
              <w:t> </w:t>
            </w:r>
          </w:p>
        </w:tc>
      </w:tr>
      <w:tr>
        <w:trPr/>
        <w:tc>
          <w:tcPr>
            <w:tcW w:w="305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2,144,214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(2,390,877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210"/>
        <w:gridCol w:w="736"/>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809"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2,112,863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(1,860,493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263,348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(110,914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(110,914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(111,701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13,688</w:t>
            </w:r>
          </w:p>
        </w:tc>
        <w:tc>
          <w:tcPr>
            <w:tcW w:w="211" w:type="dxa"/>
            <w:tcBorders/>
            <w:shd w:fill="FFFFFF" w:val="clear"/>
            <w:vAlign w:val="center"/>
          </w:tcPr>
          <w:p>
            <w:pPr>
              <w:pStyle w:val="TableContents"/>
              <w:bidi w:val="0"/>
              <w:spacing w:before="0" w:after="283"/>
              <w:jc w:val="left"/>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1,866</w:t>
            </w:r>
          </w:p>
        </w:tc>
        <w:tc>
          <w:tcPr>
            <w:tcW w:w="211" w:type="dxa"/>
            <w:tcBorders/>
            <w:shd w:fill="CFF0FC" w:val="cle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2,114,706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(1,957,719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167,201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Cash Flow Statements for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Three Months Ended March 31, 2024 and 2023</w:t>
      </w:r>
      <w:r>
        <w:rPr>
          <w:rFonts w:ascii="Times New Roman" w:hAnsi="Times New Roman"/>
          <w:color w:val="000000"/>
          <w:sz w:val="20"/>
        </w:rPr>
        <w:t xml:space="preserve"> </w:t>
      </w:r>
    </w:p>
    <w:tbl>
      <w:tblPr>
        <w:tblW w:w="8649" w:type="dxa"/>
        <w:jc w:val="left"/>
        <w:tblInd w:w="0" w:type="dxa"/>
        <w:tblLayout w:type="fixed"/>
        <w:tblCellMar>
          <w:top w:w="28" w:type="dxa"/>
          <w:left w:w="28" w:type="dxa"/>
          <w:bottom w:w="28" w:type="dxa"/>
          <w:right w:w="28" w:type="dxa"/>
        </w:tblCellMar>
      </w:tblPr>
      <w:tblGrid>
        <w:gridCol w:w="5806"/>
        <w:gridCol w:w="146"/>
        <w:gridCol w:w="146"/>
        <w:gridCol w:w="84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411" w:type="dxa"/>
            <w:tcBorders/>
            <w:shd w:fill="FFFFFF" w:val="cle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(110,914</w:t>
            </w:r>
          </w:p>
        </w:tc>
        <w:tc>
          <w:tcPr>
            <w:tcW w:w="4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 (deferred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payables, accrued expenses and other payables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Increase/(decrease) in provisions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(104,087</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(150,043</w:t>
            </w:r>
          </w:p>
        </w:tc>
        <w:tc>
          <w:tcPr>
            <w:tcW w:w="4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444,767</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March 31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501,281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include:</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501,281</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March 31</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320,239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501,281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applying its innovative TransCon technology platform to build a leading, fully integrated, global biopharma company focused on making a meaningful difference in patients’ lives.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the Company’s registered office is Tuborg Boulevard 12, DK-2900, Hellerup, Denmark.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(the “Board”) approved these unaudited condensed consolidated interim financial statements on May 2, 2024.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2023,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applied amendments to paragraphs 69 to 76 of IAS 1, “Presentation of Financial Statements,” which was effective for annual reporting periods beginning on or after January 1, 2024 and must be applied retrospectively. The amendments to IAS 1 specify the requirements for classifying liabilities as current or non-current. The amendments clarify: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What is meant by a right to defer settlement;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a right to defer must exist at the end of the reporting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classification is unaffected by the likelihood that an entity will exercise its deferral right;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only if an embedded derivative in a convertible liability is itself an equity instrument would the terms of a liability not impact its classification.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senior notes (“convertible notes”) include an embedded equity conversion option which is not deemed closely related to the financial liability and was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embedded derivative is not an equity instrument under IFRS, the amendments require the convertible notes (presented as part of borrowings in the statement of financial position) and derivative liabilities, presented as non-current liabilities at December 31, 2023, to be presented as current liabilities. The amendments require presentation of the convertible notes as current liabilities even though: the initial conversion price of $166.34 per ADS is not met; the conversion would not require cash settlement; and, the convertible notes do not mature until April 1, 2028. Further details, including (cash) maturity analysis are provided in Note 10, “Financial Assets and Liabilities.” On December 31, 2023, the carrying amount of convertible notes and derivative liabilities were €407.1 million and €143.3 million, respectively. Comparative amounts have been reclassified to reflect the change to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31, 2023, lease liabilities were presented separately in the consolidated statements of financial position. At December 31, 2023, carrying amount of lease liabilities was €84.6 million and €14.2 million, for non-current liabilities and current liabilities, respectively. Lease liabilities are from March 31, 2024, presented as part of borrowings in the consolidated statements of financial position. Comparative amounts have been reclassified to reflect the change in presentation.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 of March 31, 2024 and December 31, 2023, borrowings comprise convertible notes, royalty funding liabilities, and lease liabilities. The change to presentation had no other impact on the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applied amendments had no other impact on the unaudited condensed consolidated interim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amendments apply for the first time in 2024, but do not have an impact on the unaudited condensed consolidated interim financial statements.</w:t>
      </w:r>
    </w:p>
    <w:p>
      <w:pPr>
        <w:pStyle w:val="TextBody"/>
        <w:bidi w:val="0"/>
        <w:spacing w:before="360" w:after="283"/>
        <w:jc w:val="left"/>
        <w:rPr>
          <w:rFonts w:ascii="Times New Roman" w:hAnsi="Times New Roman"/>
          <w:sz w:val="20"/>
        </w:rPr>
      </w:pPr>
      <w:r>
        <w:rPr>
          <w:rFonts w:ascii="Times New Roman" w:hAnsi="Times New Roman"/>
          <w:b/>
          <w:i/>
          <w:color w:val="000000"/>
          <w:sz w:val="20"/>
        </w:rPr>
        <w:t>New International Financial Reporting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to the application of significant accounting judgements, or estimation uncertainties regarding accounting estimates compared to December 31, 2023.</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29, 2024, the Company announced the formation and launch with Frazier Life Sciences of Eyconis, Inc. (“Eyconis”), a separate company created to develop, manufacture, and commercialize TransCon ophthalmology assets globally, together with a $150 million commitment from an investor syndicate that includes Frazier, RA Capital Management, venBio, and HealthQuest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Eyconis exclusive rights to develop and commercialize TransCon ophthalmology products globally and received an equity position in the newly formed company. As consideration for the granting of such rights, the Company has received, as consideration, approximately 42% ownership of Eyconis’ on a non-diluted basis. In addition, various development and administrative services were provided to Eyconis and invoiced during the three months ended March 31, 2024. Further details regarding Eyconis are provided in Note 5,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unaudited condensed consolidated interim statements of financial position presented a negative balance of equity of €238.2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believes that the existing capital resources as of March 31, 2024,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borrowings including maturity analysis are provided in Note 10, “Financial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in the following amounts: </w:t>
      </w:r>
    </w:p>
    <w:tbl>
      <w:tblPr>
        <w:tblW w:w="6144" w:type="dxa"/>
        <w:jc w:val="left"/>
        <w:tblInd w:w="0" w:type="dxa"/>
        <w:tblLayout w:type="fixed"/>
        <w:tblCellMar>
          <w:top w:w="28" w:type="dxa"/>
          <w:left w:w="28" w:type="dxa"/>
          <w:bottom w:w="28" w:type="dxa"/>
          <w:right w:w="28" w:type="dxa"/>
        </w:tblCellMar>
      </w:tblPr>
      <w:tblGrid>
        <w:gridCol w:w="3871"/>
        <w:gridCol w:w="146"/>
        <w:gridCol w:w="146"/>
        <w:gridCol w:w="676"/>
        <w:gridCol w:w="146"/>
        <w:gridCol w:w="146"/>
        <w:gridCol w:w="146"/>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commercial products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31,551</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clinical supply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Attributable to</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31,551</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partners and license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timing of recognition</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location</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Commercial Customers</w:t>
      </w:r>
    </w:p>
    <w:p>
      <w:pPr>
        <w:pStyle w:val="TextBody"/>
        <w:bidi w:val="0"/>
        <w:spacing w:before="120" w:after="283"/>
        <w:jc w:val="left"/>
        <w:rPr>
          <w:rFonts w:ascii="Times New Roman" w:hAnsi="Times New Roman"/>
          <w:sz w:val="20"/>
        </w:rPr>
      </w:pPr>
      <w:r>
        <w:rPr>
          <w:rFonts w:ascii="Times New Roman" w:hAnsi="Times New Roman"/>
          <w:color w:val="000000"/>
          <w:sz w:val="20"/>
        </w:rPr>
        <w:t>Revenue to commercial customers relates to sale of SKYTROFA</w:t>
      </w:r>
      <w:r>
        <w:rPr>
          <w:rFonts w:ascii="Times New Roman" w:hAnsi="Times New Roman"/>
          <w:color w:val="000000"/>
          <w:sz w:val="13"/>
        </w:rPr>
        <w:t>®</w:t>
      </w:r>
      <w:r>
        <w:rPr>
          <w:rFonts w:ascii="Times New Roman" w:hAnsi="Times New Roman"/>
          <w:color w:val="000000"/>
          <w:sz w:val="20"/>
        </w:rPr>
        <w:t xml:space="preserve"> (lonapegsomatropin-tcgd), primarily in the U.S. market, which is sold to specialty pharmacies and specialty distributors. In addition, the Company began shipping SKYTROFA to customers in Germany in September 2023. In November 2023, TransCon PTH received regulatory approval in the EU and European Economic Area countries and will be marketed in the EU as YORVIPATH</w:t>
      </w:r>
      <w:r>
        <w:rPr>
          <w:rFonts w:ascii="Times New Roman" w:hAnsi="Times New Roman"/>
          <w:color w:val="000000"/>
          <w:sz w:val="13"/>
        </w:rPr>
        <w:t>®</w:t>
      </w:r>
      <w:r>
        <w:rPr>
          <w:rFonts w:ascii="Times New Roman" w:hAnsi="Times New Roman"/>
          <w:color w:val="000000"/>
          <w:sz w:val="20"/>
        </w:rPr>
        <w:t>. The Company began shipping YORVIPATH to customers in Germany and Austria in February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and 2023, four and three commercial customers, respectively, each represented more than 10% of sales to commercial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Partners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attributable to collaboration partners and license agreements relates to Eyconis, Teijin Limited and VISEN Pharmaceuticals. Under the collaboration agreements, we provide various research and development services which are invoiced to collaboration partners. Revenue for these activities is presented as part of “Rendering of services.” Employment costs related to these activities are presented as Research and Development Costs in the consolidated statement of profit or loss.</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29, 2024, the Company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Eyconis exclusive rights to develop and commercialize TransCon ophthalmology products globally and received, as consideration, an equity position in the newly formed company. In addition, the Company will be eligible to receive development, regulatory, and sales milestone payments, plus single digit royalties on global net sales of commercialized products,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expected to provide various research and development services, which are subject to separate remuneration, and which will be recognized as revenue over time as rendering of services or reimbursement revenue, as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revenue from “Licenses” of €24.8 million relates to non-cash upfront payment through an equity position in Eyconis, which is allocated to transfer of the Company’s intellectual property (“IP”) adjusted for internal profit. Internal profit relates to the Company’s share of the non-cash upfront payment which is recognized as part of “Investment in associates” and recognized as revenue from “Licenses” as the IP is amortized in the associate.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no revenue from royalties or milestones has been recognized under the Eyconis agreement.</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29, 2023, the Company entered into an exclusive license agreement with Teijin Limited (the “Teijin Agreement”)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Company will provide clinical and commercial supply, and development services for joint activities, which are subject to separate remuneration, and which will be recognized as revenue over time as rendering of services or reimbursement revenue,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March 31, 2024, none of the Licensed Products have received marketing authorization in Japan. The Licensed Products are patent protected, where future activities do not affect their existing stand-alone functionalities. Accordingly, all three licenses have been classified as “right-to-use” licenses, with revenue recognized at a point in time, where the licensee is granted access to the 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and regulatory milestones of up to $175 million are recognized as revenue when the milestone criteria specific to the licensed product are met. Royalty and commercial milestone income is recognized as revenue when the subsequent product sales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no revenue from royalties or milestones has been recognized under the Teijin Agreement.</w:t>
      </w:r>
    </w:p>
    <w:p>
      <w:pPr>
        <w:pStyle w:val="TextBody"/>
        <w:bidi w:val="0"/>
        <w:spacing w:before="240" w:after="283"/>
        <w:jc w:val="left"/>
        <w:rPr>
          <w:rFonts w:ascii="Times New Roman" w:hAnsi="Times New Roman"/>
          <w:sz w:val="20"/>
        </w:rPr>
      </w:pPr>
      <w:r>
        <w:rPr>
          <w:rFonts w:ascii="Times New Roman" w:hAnsi="Times New Roman"/>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collaboration partners and license agreements also includes license income, rendering of services and sale of clinical supply under three licenses agreements with VISEN Pharmaceuticals, which were entered into in 2018.</w:t>
      </w:r>
    </w:p>
    <w:p>
      <w:pPr>
        <w:pStyle w:val="TextBody"/>
        <w:bidi w:val="0"/>
        <w:spacing w:before="360" w:after="283"/>
        <w:jc w:val="left"/>
        <w:rPr>
          <w:rFonts w:ascii="Times New Roman" w:hAnsi="Times New Roman"/>
          <w:sz w:val="20"/>
        </w:rPr>
      </w:pPr>
      <w:r>
        <w:rPr>
          <w:rFonts w:ascii="Times New Roman" w:hAnsi="Times New Roman"/>
          <w:b/>
          <w:color w:val="000000"/>
          <w:sz w:val="20"/>
        </w:rPr>
        <w:t>Note 6—Segment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above.</w:t>
      </w:r>
    </w:p>
    <w:p>
      <w:pPr>
        <w:pStyle w:val="TextBody"/>
        <w:bidi w:val="0"/>
        <w:spacing w:before="360" w:after="283"/>
        <w:jc w:val="left"/>
        <w:rPr>
          <w:rFonts w:ascii="Times New Roman" w:hAnsi="Times New Roman"/>
          <w:sz w:val="20"/>
        </w:rPr>
      </w:pPr>
      <w:r>
        <w:rPr>
          <w:rFonts w:ascii="Times New Roman" w:hAnsi="Times New Roman"/>
          <w:b/>
          <w:color w:val="000000"/>
          <w:sz w:val="20"/>
        </w:rPr>
        <w:t>Note 7—Share-based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and the Executive Board, other employees, members of the Board of Directors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costs, selling, general and administrative expenses, or cost of sales. For the three months ended March 31, 2024 and 2023, share-based compensation costs recognized in the unaudited condensed consolidated interim statement of profit or loss were €17.3 million and €13.7 million,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certain members of senior management and the Executive Board, certain other employees and certain members of the Board (the “RSU-holders”). In addition, RSUs may be granted to select consultants.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ADS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members of senior management and the Executive Board (the “PSU-holders”). In addition, PSUs may be granted to other employees, select consultants and members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of Ascendis Pharma A/S upon vesting. PSUs vest in a manner similar to the service conditions of the RSUs. For the March 2023 grant, in addition to service conditions, vesting is also contingent upon achievement of performance targets as determined by the Board, provided that no more than 10% of each tranche may be directly attributable to accomplishment of financial results achieved in the financial year prior to the vesting date. For the March 2024 PSU grants,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RSUs and PSUs are expected to be settled at the time of vesting by treasury shares that are ADSs repurchased in the market. The Company may at its sole discretion choose to make a cash settlement instead of delivering ADSs. </w:t>
      </w:r>
    </w:p>
    <w:p>
      <w:pPr>
        <w:pStyle w:val="TextBody"/>
        <w:bidi w:val="0"/>
        <w:spacing w:before="36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RSUs and PSUs granted and outstanding at March 31, 2024:</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vAlign w:val="center"/>
          </w:tcPr>
          <w:p>
            <w:pPr>
              <w:pStyle w:val="TableContents"/>
              <w:bidi w:val="0"/>
              <w:spacing w:before="0" w:after="283"/>
              <w:jc w:val="left"/>
              <w:rPr/>
            </w:pPr>
            <w:r>
              <w:rPr/>
              <w:t> </w:t>
            </w:r>
          </w:p>
        </w:tc>
        <w:tc>
          <w:tcPr>
            <w:tcW w:w="5331" w:type="dxa"/>
            <w:gridSpan w:val="10"/>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681,648</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6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787,563</w:t>
            </w:r>
          </w:p>
        </w:tc>
        <w:tc>
          <w:tcPr>
            <w:tcW w:w="21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1,064,287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CFF0FC" w:val="clear"/>
            <w:vAlign w:val="center"/>
          </w:tcPr>
          <w:p>
            <w:pPr>
              <w:pStyle w:val="TableContents"/>
              <w:bidi w:val="0"/>
              <w:spacing w:before="0" w:after="283"/>
              <w:jc w:val="left"/>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6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464,304</w:t>
            </w:r>
          </w:p>
        </w:tc>
        <w:tc>
          <w:tcPr>
            <w:tcW w:w="21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464,672</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1,064,287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warrant activity for the three months ended March 31, 2024:</w:t>
      </w:r>
    </w:p>
    <w:tbl>
      <w:tblPr>
        <w:tblW w:w="5222" w:type="dxa"/>
        <w:jc w:val="left"/>
        <w:tblInd w:w="0" w:type="dxa"/>
        <w:tblLayout w:type="fixed"/>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25"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9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133.09</w:t>
            </w:r>
          </w:p>
        </w:tc>
        <w:tc>
          <w:tcPr>
            <w:tcW w:w="1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9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6,031,498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4,921,235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€11.98 to €145.50 depending on the grant dates.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 capital of Ascendis Pharma A/S consists of 58,224,419 fully paid shares at a nominal value of DKK 1, all in the same share class. </w:t>
      </w:r>
    </w:p>
    <w:p>
      <w:pPr>
        <w:pStyle w:val="TextBody"/>
        <w:bidi w:val="0"/>
        <w:spacing w:before="360" w:after="283"/>
        <w:jc w:val="left"/>
        <w:rPr>
          <w:rFonts w:ascii="Times New Roman" w:hAnsi="Times New Roman"/>
          <w:sz w:val="20"/>
        </w:rPr>
      </w:pPr>
      <w:r>
        <w:rPr>
          <w:rFonts w:ascii="Times New Roman" w:hAnsi="Times New Roman"/>
          <w:b/>
          <w:color w:val="000000"/>
          <w:sz w:val="20"/>
        </w:rPr>
        <w:t>Note 9—Treasury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is as follows:</w:t>
      </w:r>
    </w:p>
    <w:tbl>
      <w:tblPr>
        <w:tblW w:w="768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93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financial assets and liabilities:</w:t>
      </w:r>
    </w:p>
    <w:tbl>
      <w:tblPr>
        <w:tblW w:w="9797" w:type="dxa"/>
        <w:jc w:val="left"/>
        <w:tblInd w:w="0" w:type="dxa"/>
        <w:tblLayout w:type="fixed"/>
        <w:tblCellMar>
          <w:top w:w="28" w:type="dxa"/>
          <w:left w:w="28" w:type="dxa"/>
          <w:bottom w:w="28" w:type="dxa"/>
          <w:right w:w="28" w:type="dxa"/>
        </w:tblCellMar>
      </w:tblPr>
      <w:tblGrid>
        <w:gridCol w:w="6946"/>
        <w:gridCol w:w="146"/>
        <w:gridCol w:w="146"/>
        <w:gridCol w:w="781"/>
        <w:gridCol w:w="146"/>
        <w:gridCol w:w="146"/>
        <w:gridCol w:w="172"/>
        <w:gridCol w:w="923"/>
        <w:gridCol w:w="391"/>
      </w:tblGrid>
      <w:tr>
        <w:trPr/>
        <w:tc>
          <w:tcPr>
            <w:tcW w:w="6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1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391" w:type="dxa"/>
            <w:tcBorders/>
            <w:shd w:fill="FFFFFF" w:val="clear"/>
            <w:vAlign w:val="center"/>
          </w:tcPr>
          <w:p>
            <w:pPr>
              <w:pStyle w:val="TableContents"/>
              <w:bidi w:val="0"/>
              <w:spacing w:before="0" w:after="283"/>
              <w:jc w:val="center"/>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income tax and indirect tax receivables)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9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98,793</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94,566</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income tax, indirect tax, and employee related payables)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738,831</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882,127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222,996</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882,127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31, 2024, the carrying amount of the convertible notes was €425.0 million, and the fair value was approximately €387.3 million. Fair value cannot be measured based on quoted prices in active markets or other observable input, and accordingly the fair value was measured by using an estimated market rate for an equivalent non-convertible instrument.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Agreement”) with Royalty Pharma (the “Purchaser”). The net proceeds were $146.3 million (€136.3 million) after deducting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Royalty Pharma Agreement, the Company received an upfront payment of $150.0 million (the “Purchase Price”) in exchange for a 9.15% royalty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Royalty Pharma Agreement includes a buy-out option, which provides the Company with the right to settle all outstanding liabilities at any time by paying a buy-out amount equal to 1.925 times the Purchase Price minus the Revenue Interest Payments paid to the Purchaser as of the effective date of the buy-out notice. However, if the buy-out notice is provided on or prior to December 31, 2028, and the Company has paid the Purchaser Revenue Interest Payments equal to the Purchase Price as of the date of the buy-out notice, then the buy-out amount equal to 1.65 times the Purchase Price minus the Revenue Interest Payments paid to the Purchaser as of the effective date of the buy-out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31, 2024, the carrying amount of the royalty funding liabilities was €146.2 million, and the fair value was approximately €150.2 million. Fair value cannot be measured based on quoted prices in active markets or other observable input, and accordingly the fair value was measured by using an estimated market rate for an equivalent instrument. </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(50.20% and 50.47% as of March 31, 2024 and December 31,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360" w:after="283"/>
        <w:jc w:val="left"/>
        <w:rPr>
          <w:rFonts w:ascii="Times New Roman" w:hAnsi="Times New Roman"/>
          <w:sz w:val="20"/>
        </w:rPr>
      </w:pPr>
      <w:r>
        <w:rPr>
          <w:rFonts w:ascii="Times New Roman" w:hAnsi="Times New Roman"/>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2024, all other inputs and assumptions held constant, a 10% relative increase in volatility, will increase the fair value of derivative liabilities by approximately €16.2 million and indicates a decrease in profit or loss and equity before tax. Similarly, a 10% relative decrease in volatility indicates the opposite impact.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March 31, 2024, all other inputs and assumptions held constant, a 10% increase in the share price, will increase the fair value of derivative liabilities by approximately €35.5 million and indicates a decrease in profit or loss and equity before tax. Similarly, a 10% decrease in the share price indicates the opposite impact.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marketable securities,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is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is based on valuation techniques for which the lowest level input that is significant to the fair value measurement is directly or indirectly observable;</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is based on valuation techniques for which the lowest level input that is significant to the fair value measurement is unobservable.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73"/>
        <w:gridCol w:w="146"/>
        <w:gridCol w:w="781"/>
        <w:gridCol w:w="146"/>
        <w:gridCol w:w="839"/>
        <w:gridCol w:w="146"/>
        <w:gridCol w:w="781"/>
        <w:gridCol w:w="146"/>
        <w:gridCol w:w="839"/>
        <w:gridCol w:w="646"/>
        <w:gridCol w:w="1162"/>
      </w:tblGrid>
      <w:tr>
        <w:trPr/>
        <w:tc>
          <w:tcPr>
            <w:tcW w:w="4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78"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646"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1</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7,266</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pPr>
            <w:r>
              <w:rPr/>
              <w:t> </w:t>
            </w:r>
          </w:p>
        </w:tc>
      </w:tr>
      <w:tr>
        <w:trPr/>
        <w:tc>
          <w:tcPr>
            <w:tcW w:w="45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424,984</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387,321</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385,410</w:t>
            </w:r>
          </w:p>
        </w:tc>
        <w:tc>
          <w:tcPr>
            <w:tcW w:w="646" w:type="dxa"/>
            <w:tcBorders/>
            <w:shd w:fill="CFF0FC" w:val="cle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143,975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537,472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529,385</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394" w:type="dxa"/>
        <w:jc w:val="left"/>
        <w:tblInd w:w="0" w:type="dxa"/>
        <w:tblLayout w:type="fixed"/>
        <w:tblCellMar>
          <w:top w:w="28" w:type="dxa"/>
          <w:left w:w="28" w:type="dxa"/>
          <w:bottom w:w="28" w:type="dxa"/>
          <w:right w:w="28" w:type="dxa"/>
        </w:tblCellMar>
      </w:tblPr>
      <w:tblGrid>
        <w:gridCol w:w="4891"/>
        <w:gridCol w:w="146"/>
        <w:gridCol w:w="146"/>
        <w:gridCol w:w="781"/>
        <w:gridCol w:w="146"/>
        <w:gridCol w:w="146"/>
        <w:gridCol w:w="146"/>
        <w:gridCol w:w="781"/>
        <w:gridCol w:w="2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48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157,950</w:t>
            </w:r>
          </w:p>
        </w:tc>
        <w:tc>
          <w:tcPr>
            <w:tcW w:w="211" w:type="dxa"/>
            <w:tcBorders/>
            <w:shd w:fill="FFFFFF" w:val="clear"/>
            <w:vAlign w:val="center"/>
          </w:tcPr>
          <w:p>
            <w:pPr>
              <w:pStyle w:val="TableContents"/>
              <w:bidi w:val="0"/>
              <w:spacing w:before="0" w:after="283"/>
              <w:jc w:val="left"/>
              <w:rPr/>
            </w:pPr>
            <w:r>
              <w:rPr/>
              <w:t> </w:t>
            </w:r>
          </w:p>
        </w:tc>
      </w:tr>
      <w:tr>
        <w:trPr/>
        <w:tc>
          <w:tcPr>
            <w:tcW w:w="4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197,291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116,768</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maturity analysis (on an undiscounted basis) for non-derivative financial liabilities recognized in the unaudited condensed consolidated statements of financial position at March 31, 2024. Further details regarding classification of convertible notes as current liabilities in the consolidated statement of financial position, are provided in Note 2, “Summary of Material Accounting Policies,” section “New and Amended Standards and Interpretations:” </w:t>
      </w:r>
    </w:p>
    <w:tbl>
      <w:tblPr>
        <w:tblW w:w="10205" w:type="dxa"/>
        <w:jc w:val="left"/>
        <w:tblInd w:w="0" w:type="dxa"/>
        <w:tblLayout w:type="fixed"/>
        <w:tblCellMar>
          <w:top w:w="28" w:type="dxa"/>
          <w:left w:w="28" w:type="dxa"/>
          <w:bottom w:w="28" w:type="dxa"/>
          <w:right w:w="28" w:type="dxa"/>
        </w:tblCellMar>
      </w:tblPr>
      <w:tblGrid>
        <w:gridCol w:w="4020"/>
        <w:gridCol w:w="146"/>
        <w:gridCol w:w="146"/>
        <w:gridCol w:w="781"/>
        <w:gridCol w:w="146"/>
        <w:gridCol w:w="146"/>
        <w:gridCol w:w="146"/>
        <w:gridCol w:w="781"/>
        <w:gridCol w:w="146"/>
        <w:gridCol w:w="146"/>
        <w:gridCol w:w="146"/>
        <w:gridCol w:w="676"/>
        <w:gridCol w:w="146"/>
        <w:gridCol w:w="146"/>
        <w:gridCol w:w="146"/>
        <w:gridCol w:w="931"/>
        <w:gridCol w:w="146"/>
        <w:gridCol w:w="146"/>
        <w:gridCol w:w="146"/>
        <w:gridCol w:w="781"/>
        <w:gridCol w:w="191"/>
      </w:tblGrid>
      <w:tr>
        <w:trPr/>
        <w:tc>
          <w:tcPr>
            <w:tcW w:w="4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4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571,217</w:t>
            </w:r>
          </w:p>
        </w:tc>
        <w:tc>
          <w:tcPr>
            <w:tcW w:w="191" w:type="dxa"/>
            <w:tcBorders/>
            <w:shd w:fill="CFF0FC" w:val="cle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97,797</w:t>
            </w:r>
          </w:p>
        </w:tc>
        <w:tc>
          <w:tcPr>
            <w:tcW w:w="191" w:type="dxa"/>
            <w:tcBorders/>
            <w:shd w:fill="FFFFFF" w:val="clear"/>
            <w:vAlign w:val="center"/>
          </w:tcPr>
          <w:p>
            <w:pPr>
              <w:pStyle w:val="TableContents"/>
              <w:bidi w:val="0"/>
              <w:spacing w:before="0" w:after="283"/>
              <w:jc w:val="left"/>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763,839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Note 11—Subsequent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2023–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expectations regarding the commercial availability of TransCon Growth Hormone (“TransCon hGH”), known by its brand name SKYTROFA</w:t>
      </w:r>
      <w:r>
        <w:rPr>
          <w:rFonts w:ascii="Times New Roman" w:hAnsi="Times New Roman"/>
          <w:color w:val="000000"/>
          <w:sz w:val="13"/>
        </w:rPr>
        <w:t>®</w:t>
      </w:r>
      <w:r>
        <w:rPr>
          <w:color w:val="000000"/>
        </w:rPr>
        <w:t xml:space="preserve"> </w:t>
      </w:r>
      <w:r>
        <w:rPr>
          <w:rFonts w:ascii="Times New Roman" w:hAnsi="Times New Roman"/>
          <w:color w:val="000000"/>
          <w:sz w:val="20"/>
        </w:rPr>
        <w:t xml:space="preserve">(lonapegsomatropin-tcgd), in the United States, European countries, and related patient support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our second independent therapeutic area of focus and our development of a pipeline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 Inc.’s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advantages of our products and product candidates over existing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new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seek expedited regulatory approval pathways for our product candidates, including the potential ability to rely on the parent drug’s clinical and safety data with regard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TransCon hGH;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acquire and advance product candidates into, and successfully complete, clinical trials;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platform technology to build a leading, fully integrated, global biopharmaceutical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our TransCon technologies to create new and potentially best-in-class therapies;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international economic, political, legal, compliance, social and business factors, including inflation, geopolitical conflicts and energy shortages;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on our business of the worldwide pandemics and the ongoing conflict in the region surrounding Ukraine and Russia and the ongoing conflict between Israel and Hamas.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2023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This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blockbuster status (&gt;$1B) for each of TransCon PTH, TransCon hGH, and TransCon CNP through worldwide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products and product candidates combine our TransCon technologies with clinically validated parent drugs and pathways, with the goal of optimizing safety, efficacy, tolerability and convenience.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these technologies using our algorithm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360" w:after="283"/>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spacing w:before="360" w:after="283"/>
        <w:jc w:val="center"/>
        <w:rPr/>
      </w:pPr>
      <w:r>
        <w:rPr/>
        <w:drawing>
          <wp:inline distT="0" distB="0" distL="0" distR="0">
            <wp:extent cx="685800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6478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two marketed products and a diversified portfolio of five product candidates in clinical development in the areas of Endocrinology Rare Disease and Oncology, and we are working to apply our TransCon technology platform in additional therapeutic areas such as the glucagon-like peptide 1 (“GLP-1”) class, where we believe we have designed a best-in-class, once-monthly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SKYTROFA</w:t>
      </w:r>
      <w:r>
        <w:rPr>
          <w:color w:val="000000"/>
        </w:rPr>
        <w:t xml:space="preserve"> – </w:t>
      </w:r>
      <w:r>
        <w:rPr>
          <w:rFonts w:ascii="Times New Roman" w:hAnsi="Times New Roman"/>
          <w:color w:val="000000"/>
          <w:sz w:val="20"/>
        </w:rPr>
        <w:t>Our first marketed product was SKYTROFA</w:t>
      </w:r>
      <w:r>
        <w:rPr>
          <w:rFonts w:ascii="Times New Roman" w:hAnsi="Times New Roman"/>
          <w:color w:val="000000"/>
          <w:sz w:val="13"/>
        </w:rPr>
        <w:t>®</w:t>
      </w:r>
      <w:r>
        <w:rPr>
          <w:color w:val="000000"/>
        </w:rPr>
        <w:t xml:space="preserve"> </w:t>
      </w:r>
      <w:r>
        <w:rPr>
          <w:rFonts w:ascii="Times New Roman" w:hAnsi="Times New Roman"/>
          <w:color w:val="000000"/>
          <w:sz w:val="20"/>
        </w:rPr>
        <w:t>(lonapegsomatropin), developed as TransCon Growth Hormone (“TransCon hGH”), which received regulatory approval in the United States for the treatment of pediatric patients one year and older who weigh at least 11.5 kg and have growth failure due to inadequate secretion of endogenous growth hormone, also known as growth hormone deficiency (“GHD”). TransCon hGH has been commercially available for prescription in the United States under its brand name SKYTROFA (lonapegsomatropin-tcgd) since October 2021. In addition, TransCon hGH was granted marketing authorization in the European Union (“EU”) as SKYTROFA (lonapegsomatropin), a once-weekly subcutaneous injection for the treatment of children and adolescents ages 3 to 18 years with growth failure due to insufficient secretion of endogenous growth hormone. SKYTROFA has been commercially available for prescription in Germany since September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YORVIPATH</w:t>
      </w:r>
      <w:r>
        <w:rPr>
          <w:color w:val="000000"/>
        </w:rPr>
        <w:t xml:space="preserve"> – </w:t>
      </w:r>
      <w:r>
        <w:rPr>
          <w:rFonts w:ascii="Times New Roman" w:hAnsi="Times New Roman"/>
          <w:color w:val="000000"/>
          <w:sz w:val="20"/>
        </w:rPr>
        <w:t>Our second marketed product is YORVIPATH</w:t>
      </w:r>
      <w:r>
        <w:rPr>
          <w:rFonts w:ascii="Times New Roman" w:hAnsi="Times New Roman"/>
          <w:color w:val="000000"/>
          <w:sz w:val="13"/>
        </w:rPr>
        <w:t>®</w:t>
      </w:r>
      <w:r>
        <w:rPr>
          <w:color w:val="000000"/>
        </w:rPr>
        <w:t xml:space="preserve"> </w:t>
      </w:r>
      <w:r>
        <w:rPr>
          <w:rFonts w:ascii="Times New Roman" w:hAnsi="Times New Roman"/>
          <w:color w:val="000000"/>
          <w:sz w:val="20"/>
        </w:rPr>
        <w:t>(palopegteriparatide), developed as TransCon PTH. In the EU, European Economic Area (“EEA”) countries, and Great Britain, YORVIPATH was granted marketing authorization as a once-daily subcutaneous injection for the treatment of adults with chronic hypoparathyroidism. YORVIPATH has been commercially available for prescription in Germany and Austria since January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 xml:space="preserve">We are developing three product candidates in our Endocrinology Rare Disease portfolio spanning multiple indications and geographies. These include TransCon hGH for adult GHD, and Turner syndrome; TransCon PTH for adults with chronic hypoparathyroidism in the U.S. and TransCon CNP (navepegritide) for infants and children with achondroplasia. Through our strategic collaboration, Teijin Limited is developing and plans to commercialize TransCon hGH, TransCon PTH, and TransCon CNP for endocrinology rare disease in Japan. In addition, through our strategic investment, VISEN Pharmaceuticals (“VISEN”) is developing and plans to commercialize TransCon hGH, TransCon PTH, and TransCon CNP for endocrinology rare diseases in Greater China.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Toll-like receptors (“TLR”) 7 and 8 for intratumoral delivery,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for systemic delivery, which is designed for prolonged exposure to an IL-2 variant that selectively activates the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with minimal binding to IL-2Rα. Our clinical development program for these product candidates also includes evaluation of them as a potential combination therapy.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Ophthalmology </w:t>
      </w:r>
      <w:r>
        <w:rPr>
          <w:rFonts w:ascii="Times New Roman" w:hAnsi="Times New Roman"/>
          <w:color w:val="000000"/>
          <w:sz w:val="20"/>
        </w:rPr>
        <w:t>- In January 2024, we announced the formation of Eyconis, Inc. (“Eyconis”) with institutional investors and entered into an exclusive license agreement with Eyconis to develop and commercialize TransCon ophthalmology products globally. We received an equity position in the newly formed company, and we are eligible to receive future milestone payments plus single-digit royalties on global net sales of commercialized products, if any.</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rights we have granted to VISEN , Teijin Limited, and Eyconis as noted in this report, we hold worldwide rights to our TransCon technologies. The following pipeline is the Ascendis Product Candidate Pipeline.</w:t>
      </w:r>
    </w:p>
    <w:p>
      <w:pPr>
        <w:pStyle w:val="TextBody"/>
        <w:bidi w:val="0"/>
        <w:spacing w:before="120" w:after="283"/>
        <w:jc w:val="center"/>
        <w:rPr/>
      </w:pPr>
      <w:r>
        <w:rPr/>
        <w:drawing>
          <wp:inline distT="0" distB="0" distL="0" distR="0">
            <wp:extent cx="5972175"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72175" cy="2371725"/>
                    </a:xfrm>
                    <a:prstGeom prst="rect">
                      <a:avLst/>
                    </a:prstGeom>
                  </pic:spPr>
                </pic:pic>
              </a:graphicData>
            </a:graphic>
          </wp:inline>
        </w:drawing>
      </w: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foresiGHt Trial (NCT05171855)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NDA resubmitted to U.S. FDA, PDUFA goal date May 14,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Pivotal ApproaCH Trial (NCT05598320)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COACH Trial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transcendIT-101 Trial (NCT04799054), includes 4 indication-specific cohorts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BelieveIT-201 Trial (NCT05980598)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an intellectual property portfolio comprising over 300 issued patents and over 550 patent applications as of December 31, 2023, which includes patents and patent applications applicable to our product candidates with claims directed to composition of matter, process, formulation and/or methods-of-use for our product candidates, including a product-specific device and core TransCon technologies. Other than the rights we have granted to VISEN, Teijin Limited, and Eyconis as noted in this annual, we hold worldwide rights to our TransCon technologies and, other than our royalty financing arrangement with Royalty Pharma as noted in this report, we owe no third-party royalty or milestone payment obligations with respect to our TransCon technologies, TransCon hGH or any of our other product candidates. While our TransCon prodrugs may incorporate already approved parent drugs, TransCon hGH and each of our other product candidates are new molecular entities and therefore eligible to be granted new intellectual property rights, including new composition of matter patents.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 candidates, if approved, to address patients' unmet medical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we have established a multi-faceted organization to support the ongoing commercialization of SKYTROFA, which will also serve as the foundation for future Endocrinology Rare Disease product launches in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Europe, we are expanding our presence by building integrated organizations in select countries, which we call Europe Direct, beginning with Germany, where we have launched SKYTROFA and YORVIPATH. We are establishing other Europe Direct organizations to service country clusters, including DACH (Germany, Austria, Switzerland), France &amp; BeNeLux (Belgium, the Netherlands, and Luxembourg), Iberia (Portugal and Spain), Italy, Nordics (Denmark, Norway, Sweden, Iceland, Finland), and the United Kingdom &amp; Ireland.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programs through exclusive distribution agreements with geographic market leaders, which we call International Markets. As of March 31, 2024, we have established four such regional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Specialised Therapeutics Asia Pte Ltd. (Australia, New Zealand, Singapore, Malaysia, Brunei, Thailand, and Vietnam)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Er-Kim İlac Sanayi ve Ticaret A.S (Central &amp; Eastern Europe and Turkey)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Vector Pharma FZCO (Saudi Arabia, United Arab Emirates, Kuwait, Oman, Qatar, and Bahrain)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Neopharm (Israel) 1996 Ltd (Israel)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we are making our products commercially available in select markets through exclusive license agreements with partners with local expertise and infrastructure. We plan to also make our product candidates commercially available, if approved, through these exclusive license agreements. In China, VISEN has exclusive license rights to develop and commercialize TransCon hGH, TransCon PTH, and TransCon CNP. In Japan, Teijin has exclusive license rights to develop and commercialize TransCon hGH, TransCon PTH, and TransCon CNP.</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type of TransCon carrier we employ, we can design our TransCon prodrugs for sustained localized or systemic delivery. </w:t>
      </w:r>
    </w:p>
    <w:p>
      <w:pPr>
        <w:pStyle w:val="TextBody"/>
        <w:bidi w:val="0"/>
        <w:spacing w:before="240" w:after="283"/>
        <w:jc w:val="center"/>
        <w:rPr/>
      </w:pPr>
      <w:r>
        <w:rPr/>
        <w:drawing>
          <wp:inline distT="0" distB="0" distL="0" distR="0">
            <wp:extent cx="5943600" cy="2209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209800"/>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incorporate two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spacing w:before="120" w:after="283"/>
        <w:jc w:val="center"/>
        <w:rPr/>
      </w:pPr>
      <w:r>
        <w:rPr/>
        <w:drawing>
          <wp:inline distT="0" distB="0" distL="0" distR="0">
            <wp:extent cx="4419600" cy="1447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19600" cy="1447800"/>
                    </a:xfrm>
                    <a:prstGeom prst="rect">
                      <a:avLst/>
                    </a:prstGeom>
                  </pic:spPr>
                </pic:pic>
              </a:graphicData>
            </a:graphic>
          </wp:inline>
        </w:drawing>
      </w: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 xml:space="preserve">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267200" cy="1552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1552575"/>
                    </a:xfrm>
                    <a:prstGeom prst="rect">
                      <a:avLst/>
                    </a:prstGeom>
                  </pic:spPr>
                </pic:pic>
              </a:graphicData>
            </a:graphic>
          </wp:inline>
        </w:drawing>
      </w: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we developed a novel TransCon prolongation technology. The new TransCon technology may support expansion of TransCon technology into new therapeutic areas.</w:t>
      </w:r>
    </w:p>
    <w:p>
      <w:pPr>
        <w:pStyle w:val="TextBody"/>
        <w:bidi w:val="0"/>
        <w:spacing w:before="36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360" w:after="283"/>
        <w:jc w:val="left"/>
        <w:rPr>
          <w:rFonts w:ascii="Times New Roman" w:hAnsi="Times New Roman"/>
          <w:sz w:val="20"/>
        </w:rPr>
      </w:pPr>
      <w:r>
        <w:rPr>
          <w:rFonts w:ascii="Times New Roman" w:hAnsi="Times New Roman"/>
          <w:i/>
          <w:color w:val="000000"/>
          <w:sz w:val="20"/>
        </w:rPr>
        <w:t>Parent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generate a pipeline of product candidates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Products – Endocrinology Rare Disease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Growth hormone deficiency (“GHD”)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a recombinant human growth hormone (“hGH”). In childhood and adolescence, growth hormone plays an essential role in normal longitudinal growth, muscle and bone strength, and distribution of body fat. In adults, growth hormone contributes to body composition, cardiovascular function, and bone health.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result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growth hormone deficiency in a US pediatric population. J Manag Care Spec Pharm.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For adult patients with GHD, underdiagnosis and undertreatment are also a concern. Untreated adult GHD patients can experience reduced quality of life and increased risk of morbidity and mortality. A retrospective cohort study presented at ENDO 2023 analyzed an electronics health records database and selected adult patients with suspected AGHD. Of the 51,588 patients with suspected AGHD, fewer than 4% were treated with growth hormone. </w:t>
      </w:r>
    </w:p>
    <w:p>
      <w:pPr>
        <w:pStyle w:val="TextBody"/>
        <w:bidi w:val="0"/>
        <w:spacing w:before="240" w:after="120"/>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w:t>
      </w:r>
      <w:r>
        <w:rPr>
          <w:rFonts w:ascii="Times New Roman" w:hAnsi="Times New Roman"/>
          <w:color w:val="000000"/>
          <w:sz w:val="20"/>
        </w:rPr>
        <w:t xml:space="preserve"> (Eli Lilly and Company), Genotropin</w:t>
      </w:r>
      <w:r>
        <w:rPr>
          <w:rFonts w:ascii="Times New Roman" w:hAnsi="Times New Roman"/>
          <w:color w:val="000000"/>
          <w:sz w:val="13"/>
        </w:rPr>
        <w:t>®</w:t>
      </w:r>
      <w:r>
        <w:rPr>
          <w:rFonts w:ascii="Times New Roman" w:hAnsi="Times New Roman"/>
          <w:color w:val="000000"/>
          <w:sz w:val="20"/>
        </w:rPr>
        <w:t xml:space="preserve"> (Pfizer Inc.), Zomacton</w:t>
      </w:r>
      <w:r>
        <w:rPr>
          <w:rFonts w:ascii="Times New Roman" w:hAnsi="Times New Roman"/>
          <w:color w:val="000000"/>
          <w:sz w:val="13"/>
        </w:rPr>
        <w:t>®</w:t>
      </w:r>
      <w:r>
        <w:rPr>
          <w:rFonts w:ascii="Times New Roman" w:hAnsi="Times New Roman"/>
          <w:color w:val="000000"/>
          <w:sz w:val="20"/>
        </w:rPr>
        <w:t xml:space="preserve"> (Ferring Pharmaceuticals, Inc.) and Omnitrope</w:t>
      </w:r>
      <w:r>
        <w:rPr>
          <w:rFonts w:ascii="Times New Roman" w:hAnsi="Times New Roman"/>
          <w:color w:val="000000"/>
          <w:sz w:val="13"/>
        </w:rPr>
        <w:t>®</w:t>
      </w:r>
      <w:r>
        <w:rPr>
          <w:rFonts w:ascii="Times New Roman" w:hAnsi="Times New Roman"/>
          <w:color w:val="000000"/>
          <w:sz w:val="20"/>
        </w:rPr>
        <w:t xml:space="preserve"> (Sandoz GmbH) – contain unmodified somatropin (hGH) and are administered by subcutaneous injections. The global market for daily hGH products is largely composed of products from Novo Nordisk, Pfizer, Eli Lilly, Sandoz, and Merck KGaA, which together account for most of the global market share.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current total hGH market, of which approximately half is for pediatric GHD.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Competitive Landscape for Long-Acting Growth Hormone Therapies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(hGH)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Unmodified somatropin (hGH):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xml:space="preserve">, formerly marketed by Genentech, and Somatropin Biopartners, developed by LG Life Sciences and Biopartners GmbH. Nutropin Depot was approved in 1999 and later withdrawn; Somatropin Biopartners (LB03002), was approved by the European Medicines Agency (“EMA”) in 2013, and later withdrawn. We believe that the lack of market acceptance was a result of the various safety and tolerability issues that tend to arise with encapsulation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for replacement of endogenous growth hormone in adult patients with GHD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xml:space="preserve">) is available in China and the Somatropin Biopartners product (LB03002) is available in Korea. Other experimental growth hormone therapies based on permanent modification are in different stages of clinical development by various companies, including., Genexine Inc., I-MAB, and JCR Pharmaceuticals Co., Ltd. </w:t>
      </w:r>
    </w:p>
    <w:p>
      <w:pPr>
        <w:pStyle w:val="TextBody"/>
        <w:bidi w:val="0"/>
        <w:spacing w:before="360" w:after="283"/>
        <w:jc w:val="left"/>
        <w:rPr>
          <w:rFonts w:ascii="Times New Roman" w:hAnsi="Times New Roman"/>
          <w:sz w:val="20"/>
        </w:rPr>
      </w:pPr>
      <w:r>
        <w:rPr>
          <w:rFonts w:ascii="Times New Roman" w:hAnsi="Times New Roman"/>
          <w:i/>
          <w:color w:val="000000"/>
          <w:sz w:val="20"/>
        </w:rPr>
        <w:t>Our Solution: TransCon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is a prodrug composed of somatropin (“hGH”) that is transiently bound to a carrier and proprietary linker. TransCon hGH is administered once weekly and is designed to maintain the same mode of action as daily therapies by providing sustained release of active, unmodified somatropin, the same recombinant growth hormone molecule used in the daily hGH therapies that are the current standard of care.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TransCon Growth Hormone (hGH) for pediatric GHD</w:t>
      </w:r>
    </w:p>
    <w:p>
      <w:pPr>
        <w:pStyle w:val="TextBody"/>
        <w:bidi w:val="0"/>
        <w:spacing w:before="120" w:after="283"/>
        <w:jc w:val="left"/>
        <w:rPr>
          <w:rFonts w:ascii="Times New Roman" w:hAnsi="Times New Roman"/>
          <w:sz w:val="20"/>
        </w:rPr>
      </w:pPr>
      <w:r>
        <w:rPr>
          <w:rFonts w:ascii="Times New Roman" w:hAnsi="Times New Roman"/>
          <w:color w:val="000000"/>
          <w:sz w:val="20"/>
        </w:rPr>
        <w:t>TransCon hGH, marketed under the brand name SKYTROFA</w:t>
      </w:r>
      <w:r>
        <w:rPr>
          <w:rFonts w:ascii="Times New Roman" w:hAnsi="Times New Roman"/>
          <w:color w:val="000000"/>
          <w:sz w:val="13"/>
        </w:rPr>
        <w:t>®</w:t>
      </w:r>
      <w:r>
        <w:rPr>
          <w:rFonts w:ascii="Times New Roman" w:hAnsi="Times New Roman"/>
          <w:color w:val="000000"/>
          <w:sz w:val="20"/>
        </w:rPr>
        <w:t xml:space="preserve"> (lonapegsomatropin-tcgd), received regulatory approval in the U.S. for the treatment of pediatric patients one year and older who weigh at least 11.5 kg and have growth failure due to inadequate secretion of endogenous growth hormone, also known as growth hormone deficiency. SKYTROFA has been commercially available for prescription in the United States since October 2021. In the EU, EEA countries, and Great Britain, we received marketing authorization for TransCon hGH – known by its brand name SKYTROFA (lonapegsomatropin) – as a once-weekly subcutaneous injection for the treatment of children and adolescents ages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topline results from the completed enliGHten Trial, an open-label extension trial evaluating the long-term safety and efficacy of TransCon hGH as a once-weekly treatment for children and adolescents with growth hormone deficiency.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ongoing Phase 3 riGHt Trial, we are evaluating TransCon hGH as a treatment in Japanese children with GHD. The primary objective of the riGHt Trial is to evaluate and compare the annualized height velocity of approximately 40 Japanese prepubertal children with GHD treated with once-weekly TransCon hGH to that of children treated with a commercially available daily hGH formulation at 52 weeks. Enrollment in the riGHt trial was completed during the fourth quarter of 2023. </w:t>
      </w:r>
    </w:p>
    <w:p>
      <w:pPr>
        <w:pStyle w:val="TextBody"/>
        <w:bidi w:val="0"/>
        <w:spacing w:before="36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SKYTROFA includes the SKYTROFA</w:t>
      </w:r>
      <w:r>
        <w:rPr>
          <w:rFonts w:ascii="Times New Roman" w:hAnsi="Times New Roman"/>
          <w:color w:val="000000"/>
          <w:sz w:val="13"/>
        </w:rPr>
        <w:t>®</w:t>
      </w:r>
      <w:r>
        <w:rPr>
          <w:rFonts w:ascii="Times New Roman" w:hAnsi="Times New Roman"/>
          <w:color w:val="000000"/>
          <w:sz w:val="20"/>
        </w:rPr>
        <w:t xml:space="preserve">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jc w:val="left"/>
        <w:rPr/>
      </w:pPr>
      <w:r>
        <w:rPr/>
        <w:t> </w:t>
      </w:r>
    </w:p>
    <w:p>
      <w:pPr>
        <w:pStyle w:val="TextBody"/>
        <w:bidi w:val="0"/>
        <w:jc w:val="center"/>
        <w:rPr/>
      </w:pPr>
      <w:r>
        <w:rPr/>
        <w:drawing>
          <wp:inline distT="0" distB="0" distL="0" distR="0">
            <wp:extent cx="1952625" cy="3286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52625" cy="3286125"/>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Figure: Our state-of-the-art auto-injector is designed to improve treatment compliance for children with GHD.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 – Endocrinology Rare Diseases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Clinical Development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announced positive topline results from foresiGHt, a Phase 3 randomized, parallel-arm, placebo-controlled (double-blind) and active-controlled (open-label) trial to compare the efficacy and safety of TransCon hGH with placebo and daily hGH in adults with GHD. The trial aims to evaluate the metabolic benefits of TransCon hGH in adults, with the primary objective to evaluate change in trunk fat percentage.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primary efficacy endpoint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as measured by dual x-ray absorptiometry (TransCon hGH -1.67% vs. placebo +0.37%, LS mean difference = -2.04%, p &lt; 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key secondary efficacy endpoints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+1.60 kg vs placebo -0.10 kg, LS mean difference = 1.70 kg, p &lt; 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-0.48 kg vs placebo +0.22 kg, LS mean difference = -0.70 kg, p = 0.0053)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Exploratory post-hoc analysis at Week 38 demonstrated comparable treatment effect of TransCon hGH and daily hGH on target tissues. For patients with average IGF-1 SDS levels ≤ 1.75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(TransCon hGH -2.42% vs. daily hGH -2.59%)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+1.70 kg vs daily hGH +1.37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-0.90 kg vs daily hGH -0.94 kg)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was generally safe and well tolerated, with no discontinuations related to study drug and with comparable safety and tolerability to daily hGH.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submit a supplemental Biologics License Application (“BLA”) to FDA for adult GHD in the third quarter of 2024.</w:t>
      </w:r>
    </w:p>
    <w:p>
      <w:pPr>
        <w:pStyle w:val="TextBody"/>
        <w:bidi w:val="0"/>
        <w:spacing w:before="360" w:after="283"/>
        <w:jc w:val="left"/>
        <w:rPr>
          <w:rFonts w:ascii="Times New Roman" w:hAnsi="Times New Roman"/>
          <w:sz w:val="20"/>
        </w:rPr>
      </w:pPr>
      <w:r>
        <w:rPr>
          <w:rFonts w:ascii="Times New Roman" w:hAnsi="Times New Roman"/>
          <w:i/>
          <w:color w:val="000000"/>
          <w:sz w:val="20"/>
        </w:rPr>
        <w:t>Other Development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we initiated the Phase 2 New InsiGHTS Trial in the U.S. to evaluate TransCon hGH in Turner syndrome. In this trial, we are evaluating higher doses of TransCon hGH and daily hGH for Turner syndrome compared to doses for pediatric or adult GHD. Topline results from New InsiGHTS are expected in the fourth quarter of 2024. In addition, we are considering other potential indications for TransCon hGH where we believe a long-acting hGH therapy may offer benefits to patients with rare growth disorders, including in combination with our TransCon CNP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 Opportunity in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Hypoparathyroidism is a rare endocrine disease characterized by insufficient levels of parathyroid hormone (“PTH”). Most patients with hypoparathyroidism develop the condition following damage to or accidental removal of the parathyroid glands during thyroid surgery. Post-surgical hypoparathyroidism accounts for the majority of cases (70-80%);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Short-term symptoms include weakness, severe muscle cramps (tetany), abnormal sensations such as tingling, burning and numbness (paresthesia), memory loss, impaired judgment, and headache. Patients often experience decreased quality of life, and, over the long term, prolonged use of conventional therapy may increase risk of major complications, such as calcium deposits in the brain, blood vessels, eye, and other soft tissues. According to a recent systematic literature review, chronic hypoparathyroidism treated with conventional therapy is associated with higher rates of renal complications compared to the general population, such as nephrolithiasis (up to 36%), nephrocalcinosis (up to 38%), and chronic kidney disease (up to 41%). Hypoparathyroidism remains among the few hormonal insufficiency states without a replacement therapy that restores the missing hormone at physiologic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Hypoparathyroidism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hypoparathyroidism cases require hospitalizations and that patients with the disease have a four-fold increase in the risk of renal disease compared to healthy controls. Patients often experience decreased quality of life. We conducted a survey of 42 patients which found that 100% of patients reported negative psychological impacts, interference with daily life and impact on physical functioning from hypoparathyroidism, and that 76% were either no longer able to work or experienced interference with work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who are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240" w:after="283"/>
        <w:jc w:val="left"/>
        <w:rPr>
          <w:rFonts w:ascii="Times New Roman" w:hAnsi="Times New Roman"/>
          <w:sz w:val="20"/>
        </w:rPr>
      </w:pPr>
      <w:r>
        <w:rPr>
          <w:rFonts w:ascii="Times New Roman" w:hAnsi="Times New Roman"/>
          <w:color w:val="000000"/>
          <w:sz w:val="20"/>
        </w:rPr>
        <w:t>Currently, an effective PTH replacement therapy that fully addresses the condition is not widely available to patients with hypoparathyroidism. In 2015, NATPARA</w:t>
      </w:r>
      <w:r>
        <w:rPr>
          <w:rFonts w:ascii="Times New Roman" w:hAnsi="Times New Roman"/>
          <w:color w:val="000000"/>
          <w:sz w:val="13"/>
        </w:rPr>
        <w:t>®</w:t>
      </w:r>
      <w:r>
        <w:rPr>
          <w:rFonts w:ascii="Times New Roman" w:hAnsi="Times New Roman"/>
          <w:color w:val="000000"/>
          <w:sz w:val="20"/>
        </w:rPr>
        <w:t xml:space="preserve"> (parathyroid hormone) for injection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will discontinue manufacturing NATPARA/NATPAR globally by the end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several academic groups and companies working on making longer-acting agonists of the PTH receptor. In addition, other companies and groups are developing or commercializing therapies for hypoparathyroidism, including Calcilytix (a BridgeBio company), Entera Bio, Extend Biosciences, Massachusetts General Hospital, Amolyt Pharma, and MBX Biosciences.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Teriparatide, PTH (1-34), approved since 2002 for the treatment of osteoporosis, has sometimes been used for treatment of hypoparathyroidism using multiple daily injections, despite not being approved for this indication. Clinical research conducted by the National Institutes of Health in subjects receiving continuous exposure to PTH (1-34), administered by an infusion pump, demonstrated simultaneous normalization of sCa and urinary calcium, as well as normalization of bone turnover.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 </w:t>
      </w:r>
    </w:p>
    <w:p>
      <w:pPr>
        <w:pStyle w:val="TextBody"/>
        <w:bidi w:val="0"/>
        <w:spacing w:before="360" w:after="120"/>
        <w:jc w:val="left"/>
        <w:rPr>
          <w:rFonts w:ascii="Times New Roman" w:hAnsi="Times New Roman"/>
          <w:sz w:val="20"/>
        </w:rPr>
      </w:pPr>
      <w:r>
        <w:rPr>
          <w:rFonts w:ascii="Times New Roman" w:hAnsi="Times New Roman"/>
          <w:i/>
          <w:color w:val="000000"/>
          <w:sz w:val="20"/>
        </w:rPr>
        <w:t>Our Solution: 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(palopegteriparatide) is an investigational prodrug of PTH (1-34) that is designed to be dosed once-daily to achieve and maintain a steady concentration of PTH in the bloodstream within the normal range, at levels similar to those observed in healthy individuals. TransCon PTH is designed to provide PTH in the physiological range for 24 hours per day, thereby more fully addressing all aspects of the disease, including normalizing serum and urinary calcium and serum phosphate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providing steady levels of PTH in the physiological range, we believe TransCon PTH can address the fundamental limitations of PTH therapies with short half-life molecules and become a highly differentiated therapy for hypoparathyroidism.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2023, TransCon PTH received regulatory approval in the EU and European Economic Area-European Free Trade Association states and will be marketed as YORVIPATH</w:t>
      </w:r>
      <w:r>
        <w:rPr>
          <w:rFonts w:ascii="Times New Roman" w:hAnsi="Times New Roman"/>
          <w:color w:val="000000"/>
          <w:sz w:val="16"/>
        </w:rPr>
        <w:t>®</w:t>
      </w:r>
      <w:r>
        <w:rPr>
          <w:rFonts w:ascii="Times New Roman" w:hAnsi="Times New Roman"/>
          <w:color w:val="000000"/>
          <w:sz w:val="20"/>
        </w:rPr>
        <w:t>, a parathyroid hormone replacement therapy indicated for the treatment of adults with chronic hypoparathyroidism. In April 2024, TransCon PTH received regulatory approval in Great Britain as a PTH replacement therapy indicated for the treatment of adults with chronic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we announced that YORVIPATH is commercially available in Germany and Austria, and we began shipping to customers in February. In April 2024, we announced that the United Kingdom’s Medicines &amp; Healthcare products Regulatory Agency granted YORVIPATH orphan drug status.</w:t>
      </w:r>
    </w:p>
    <w:p>
      <w:pPr>
        <w:pStyle w:val="TextBody"/>
        <w:bidi w:val="0"/>
        <w:spacing w:before="360" w:after="283"/>
        <w:jc w:val="left"/>
        <w:rPr>
          <w:rFonts w:ascii="Times New Roman" w:hAnsi="Times New Roman"/>
          <w:sz w:val="20"/>
        </w:rPr>
      </w:pPr>
      <w:r>
        <w:rPr>
          <w:rFonts w:ascii="Times New Roman" w:hAnsi="Times New Roman"/>
          <w:i/>
          <w:color w:val="000000"/>
          <w:sz w:val="20"/>
        </w:rPr>
        <w:t>Clinical Development of TransCon PTH for Adult 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Phase 3 PaTHway Trial, Phase 3 PaTHway Japan Trial, and Phase 2 PaTH Forward Trial are evaluating TransCon PTH in adult patients with hypoparathyroidism. Following the primary outcome period, all three trials continue in the open-label extension portion to collect long-term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we announced that the FDA accepted for review our resubmitted New Drug Application (“NDA”) for TransCon PTH (palopegteriparatide) for the treatment of adult patients with hypoparathyroidism. The agency considered the resubmission a complete, class 2 response and set a PDUFA goal date of May 14, 2024. In the U.S., TransCon PTH (palopegteriparatide) is an investigational prodrug of parathyroid hormone (PTH [1-34]) for adult patients with hypoparathyroidism. The resubmission followed the Type A meeting held with the FDA in late August 2023, held after the FDA's issuance of a complete response letter (“CRL”) in May 2023 for the TransCon PTH (palopegteriparatide) NDA for the treatment of adults with hypoparathyroidism. In the CRL, the FDA cited concerns related to the manufacturing control strategy for variability of delivered dose in the TransCon PTH drug/device combination product. The FDA did not express concern in the CRL about the clinical data submitted as part of the NDA package and no new preclinical studies or Phase 3 clinical trials to evaluate safety or efficacy were requested in the letter. </w:t>
      </w:r>
    </w:p>
    <w:p>
      <w:pPr>
        <w:pStyle w:val="TextBody"/>
        <w:bidi w:val="0"/>
        <w:spacing w:before="240" w:after="283"/>
        <w:jc w:val="left"/>
        <w:rPr>
          <w:rFonts w:ascii="Times New Roman" w:hAnsi="Times New Roman"/>
          <w:sz w:val="20"/>
        </w:rPr>
      </w:pPr>
      <w:r>
        <w:rPr>
          <w:rFonts w:ascii="Times New Roman" w:hAnsi="Times New Roman"/>
          <w:color w:val="000000"/>
          <w:sz w:val="20"/>
        </w:rPr>
        <w:t>In September 2023, we announced new post hoc analysis showing adults with hypoparathyroidism treated with TransCon PTH demonstrated substantial improvement in estimated glomerular filtration rate (“eGFR”), suggesting improved kidney function. In the Phase 3 PaTHway Trial, mean baseline eGFR was 67.3 and 72.7 mL/min/1.73m</w:t>
      </w:r>
      <w:r>
        <w:rPr>
          <w:rFonts w:ascii="Times New Roman" w:hAnsi="Times New Roman"/>
          <w:color w:val="000000"/>
          <w:sz w:val="13"/>
        </w:rPr>
        <w:t>2</w:t>
      </w:r>
      <w:r>
        <w:rPr>
          <w:rFonts w:ascii="Times New Roman" w:hAnsi="Times New Roman"/>
          <w:color w:val="000000"/>
          <w:sz w:val="20"/>
        </w:rPr>
        <w:t xml:space="preserve"> for subjects randomized to TransCon PTH and placebo, respectively. At Week 26, patients treated with TransCon PTH experienced a mean increase in eGFR of 7.9 mL/min/1.73m</w:t>
      </w:r>
      <w:r>
        <w:rPr>
          <w:rFonts w:ascii="Times New Roman" w:hAnsi="Times New Roman"/>
          <w:color w:val="000000"/>
          <w:sz w:val="13"/>
        </w:rPr>
        <w:t>2</w:t>
      </w:r>
      <w:r>
        <w:rPr>
          <w:rFonts w:ascii="Times New Roman" w:hAnsi="Times New Roman"/>
          <w:color w:val="000000"/>
          <w:sz w:val="20"/>
        </w:rPr>
        <w:t xml:space="preserve"> compared to baseline (p&lt;0.0001) while those on placebo experienced a mean decrease in eGFR of -1.9 mL/min/1.73m</w:t>
      </w:r>
      <w:r>
        <w:rPr>
          <w:rFonts w:ascii="Times New Roman" w:hAnsi="Times New Roman"/>
          <w:color w:val="000000"/>
          <w:sz w:val="13"/>
        </w:rPr>
        <w:t>2</w:t>
      </w:r>
      <w:r>
        <w:rPr>
          <w:rFonts w:ascii="Times New Roman" w:hAnsi="Times New Roman"/>
          <w:color w:val="000000"/>
          <w:sz w:val="20"/>
        </w:rPr>
        <w:t xml:space="preserve"> compared to baseline (p=0.3468). By Week 52, patients treated with TransCon PTH, including those crossing over from placebo, experienced a mean increase in eGFR of 8.9 mL/min/1.73m</w:t>
      </w:r>
      <w:r>
        <w:rPr>
          <w:rFonts w:ascii="Times New Roman" w:hAnsi="Times New Roman"/>
          <w:color w:val="000000"/>
          <w:sz w:val="13"/>
        </w:rPr>
        <w:t>2</w:t>
      </w:r>
      <w:r>
        <w:rPr>
          <w:rFonts w:ascii="Times New Roman" w:hAnsi="Times New Roman"/>
          <w:color w:val="000000"/>
          <w:sz w:val="20"/>
        </w:rPr>
        <w:t xml:space="preserve"> compared to baseline (p&lt;0.0001). For the patient subgroup with impaired kidney function (eGFR &lt;60 mL/min/1.73m</w:t>
      </w:r>
      <w:r>
        <w:rPr>
          <w:rFonts w:ascii="Times New Roman" w:hAnsi="Times New Roman"/>
          <w:color w:val="000000"/>
          <w:sz w:val="13"/>
        </w:rPr>
        <w:t>2</w:t>
      </w:r>
      <w:r>
        <w:rPr>
          <w:rFonts w:ascii="Times New Roman" w:hAnsi="Times New Roman"/>
          <w:color w:val="000000"/>
          <w:sz w:val="20"/>
        </w:rPr>
        <w:t xml:space="preserve"> at baseline), mean increase in eGFR was even greater over 52 weeks, with a mean increase in eGFR of 11.5 mL/min/1.73m</w:t>
      </w:r>
      <w:r>
        <w:rPr>
          <w:rFonts w:ascii="Times New Roman" w:hAnsi="Times New Roman"/>
          <w:color w:val="000000"/>
          <w:sz w:val="13"/>
        </w:rPr>
        <w:t>2</w:t>
      </w:r>
      <w:r>
        <w:rPr>
          <w:rFonts w:ascii="Times New Roman" w:hAnsi="Times New Roman"/>
          <w:color w:val="000000"/>
          <w:sz w:val="20"/>
        </w:rPr>
        <w:t>.</w:t>
      </w:r>
    </w:p>
    <w:p>
      <w:pPr>
        <w:pStyle w:val="TextBody"/>
        <w:bidi w:val="0"/>
        <w:jc w:val="left"/>
        <w:rPr/>
      </w:pPr>
      <w:r>
        <w:rPr/>
        <w:t> </w:t>
      </w:r>
    </w:p>
    <w:tbl>
      <w:tblPr>
        <w:tblW w:w="7851" w:type="dxa"/>
        <w:jc w:val="left"/>
        <w:tblInd w:w="0" w:type="dxa"/>
        <w:tblLayout w:type="fixed"/>
        <w:tblCellMar>
          <w:top w:w="28" w:type="dxa"/>
          <w:left w:w="28" w:type="dxa"/>
          <w:bottom w:w="28" w:type="dxa"/>
          <w:right w:w="28" w:type="dxa"/>
        </w:tblCellMar>
      </w:tblPr>
      <w:tblGrid>
        <w:gridCol w:w="3496"/>
        <w:gridCol w:w="1576"/>
        <w:gridCol w:w="316"/>
        <w:gridCol w:w="1051"/>
        <w:gridCol w:w="316"/>
        <w:gridCol w:w="1096"/>
      </w:tblGrid>
      <w:tr>
        <w:trPr/>
        <w:tc>
          <w:tcPr>
            <w:tcW w:w="349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PaTHway: eGFR Change from Baseline by eGFR Group</w:t>
            </w:r>
          </w:p>
        </w:tc>
      </w:tr>
      <w:tr>
        <w:trPr/>
        <w:tc>
          <w:tcPr>
            <w:tcW w:w="3496" w:type="dxa"/>
            <w:tcBorders>
              <w:left w:val="single" w:sz="4" w:space="0" w:color="000000"/>
              <w:bottom w:val="single" w:sz="4" w:space="0" w:color="EEECE1"/>
              <w:right w:val="single" w:sz="4" w:space="0" w:color="000000"/>
            </w:tcBorders>
            <w:shd w:fill="EEECE1" w:val="clear"/>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EEECE1"/>
              <w:right w:val="single" w:sz="4" w:space="0" w:color="000000"/>
            </w:tcBorders>
            <w:shd w:fill="EEECE1"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Baseline</w:t>
            </w:r>
          </w:p>
        </w:tc>
        <w:tc>
          <w:tcPr>
            <w:tcW w:w="1367" w:type="dxa"/>
            <w:gridSpan w:val="2"/>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Week 26</w:t>
            </w:r>
          </w:p>
        </w:tc>
        <w:tc>
          <w:tcPr>
            <w:tcW w:w="1412" w:type="dxa"/>
            <w:gridSpan w:val="2"/>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Week 52</w:t>
            </w:r>
          </w:p>
        </w:tc>
      </w:tr>
      <w:tr>
        <w:trPr/>
        <w:tc>
          <w:tcPr>
            <w:tcW w:w="3496" w:type="dxa"/>
            <w:tcBorders>
              <w:left w:val="single" w:sz="4" w:space="0" w:color="000000"/>
              <w:bottom w:val="single" w:sz="4" w:space="0" w:color="000000"/>
              <w:right w:val="single" w:sz="4" w:space="0" w:color="000000"/>
            </w:tcBorders>
            <w:shd w:fill="EEECE1"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Study Arm</w:t>
            </w:r>
          </w:p>
        </w:tc>
        <w:tc>
          <w:tcPr>
            <w:tcW w:w="1576" w:type="dxa"/>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eGFR</w:t>
            </w:r>
          </w:p>
          <w:p>
            <w:pPr>
              <w:pStyle w:val="TableContents"/>
              <w:bidi w:val="0"/>
              <w:spacing w:before="0" w:after="283"/>
              <w:jc w:val="center"/>
              <w:rPr>
                <w:rFonts w:ascii="Times New Roman" w:hAnsi="Times New Roman"/>
                <w:sz w:val="20"/>
              </w:rPr>
            </w:pPr>
            <w:r>
              <w:rPr>
                <w:rFonts w:ascii="Times New Roman" w:hAnsi="Times New Roman"/>
                <w:b/>
                <w:color w:val="000000"/>
                <w:sz w:val="20"/>
              </w:rPr>
              <w:t>(mL/min/1.73m</w:t>
            </w:r>
            <w:r>
              <w:rPr>
                <w:rFonts w:ascii="Times New Roman" w:hAnsi="Times New Roman"/>
                <w:b/>
                <w:color w:val="000000"/>
                <w:sz w:val="13"/>
              </w:rPr>
              <w:t>2</w:t>
            </w:r>
            <w:r>
              <w:rPr>
                <w:rFonts w:ascii="Times New Roman" w:hAnsi="Times New Roman"/>
                <w:b/>
                <w:color w:val="000000"/>
                <w:sz w:val="20"/>
              </w:rPr>
              <w:t>)</w:t>
            </w:r>
          </w:p>
        </w:tc>
        <w:tc>
          <w:tcPr>
            <w:tcW w:w="316" w:type="dxa"/>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w:t>
            </w:r>
          </w:p>
        </w:tc>
        <w:tc>
          <w:tcPr>
            <w:tcW w:w="1051" w:type="dxa"/>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Mean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 value)</w:t>
            </w:r>
          </w:p>
        </w:tc>
        <w:tc>
          <w:tcPr>
            <w:tcW w:w="316" w:type="dxa"/>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w:t>
            </w:r>
          </w:p>
        </w:tc>
        <w:tc>
          <w:tcPr>
            <w:tcW w:w="1096" w:type="dxa"/>
            <w:tcBorders>
              <w:bottom w:val="single" w:sz="4" w:space="0" w:color="000000"/>
              <w:right w:val="single" w:sz="4" w:space="0" w:color="000000"/>
            </w:tcBorders>
            <w:shd w:fill="EEECE1" w:val="clear"/>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Mean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 value)</w:t>
            </w:r>
          </w:p>
        </w:tc>
      </w:tr>
      <w:tr>
        <w:trPr/>
        <w:tc>
          <w:tcPr>
            <w:tcW w:w="3496"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 / TransCon PTH</w:t>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eGFR &lt; 60</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+11.4</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(p=0.0002)</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+11.5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(p=0.0003)</w:t>
            </w:r>
          </w:p>
        </w:tc>
      </w:tr>
      <w:tr>
        <w:trPr/>
        <w:tc>
          <w:tcPr>
            <w:tcW w:w="3496"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eGFR ≥ 60</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(p=0.0002)</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 &lt;0.0001)</w:t>
            </w:r>
          </w:p>
        </w:tc>
      </w:tr>
      <w:tr>
        <w:trPr/>
        <w:tc>
          <w:tcPr>
            <w:tcW w:w="3496"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+7.9</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 0.0001)</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+9.3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(p&lt;0.0001)</w:t>
            </w:r>
          </w:p>
        </w:tc>
      </w:tr>
      <w:tr>
        <w:trPr/>
        <w:tc>
          <w:tcPr>
            <w:tcW w:w="3496"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Placebo (first 26 weeks) / TransCon PTH*</w:t>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eGFR &lt; 60</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(p=0.9877)</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+11.7</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(p=0.0018)</w:t>
            </w:r>
          </w:p>
        </w:tc>
      </w:tr>
      <w:tr>
        <w:trPr/>
        <w:tc>
          <w:tcPr>
            <w:tcW w:w="3496"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eGFR ≥ 60</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-2.4</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(p=0.3280)</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(p=0.0199)</w:t>
            </w:r>
          </w:p>
        </w:tc>
      </w:tr>
      <w:tr>
        <w:trPr/>
        <w:tc>
          <w:tcPr>
            <w:tcW w:w="3496"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5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-1.9</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(p=0.3468)</w:t>
            </w:r>
          </w:p>
        </w:tc>
        <w:tc>
          <w:tcPr>
            <w:tcW w:w="31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0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+7.6</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(p=0.0014)</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eGFR (an assessment of kidney filtering capacity) was calculated by the trial’s central lab using the Modification of Diet in Renal Disease Study Group equation (Levey, Ann Intern Med 2006).</w:t>
        <w:br/>
        <w:t>*Patients in the placebo arm switched to TransCon PTH following the Week 26 visit.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Among patients with baseline eGFR &lt; 60 mL/min/1.73m</w:t>
      </w:r>
      <w:r>
        <w:rPr>
          <w:rFonts w:ascii="Times New Roman" w:hAnsi="Times New Roman"/>
          <w:color w:val="000000"/>
          <w:sz w:val="13"/>
        </w:rPr>
        <w:t>2</w:t>
      </w:r>
      <w:r>
        <w:rPr>
          <w:rFonts w:ascii="Times New Roman" w:hAnsi="Times New Roman"/>
          <w:color w:val="000000"/>
          <w:sz w:val="20"/>
        </w:rPr>
        <w:t xml:space="preserve"> (considered the threshold for impaired kidney function), approximately 50% were able to improve their eGFR to ≥ 60 mL/min/1.73m</w:t>
      </w:r>
      <w:r>
        <w:rPr>
          <w:rFonts w:ascii="Times New Roman" w:hAnsi="Times New Roman"/>
          <w:color w:val="000000"/>
          <w:sz w:val="13"/>
        </w:rPr>
        <w:t>2</w:t>
      </w:r>
      <w:r>
        <w:rPr>
          <w:rFonts w:ascii="Times New Roman" w:hAnsi="Times New Roman"/>
          <w:color w:val="000000"/>
          <w:sz w:val="20"/>
        </w:rPr>
        <w:t xml:space="preserve"> with TransCon PTH therapy.</w:t>
      </w:r>
    </w:p>
    <w:p>
      <w:pPr>
        <w:pStyle w:val="TextBody"/>
        <w:bidi w:val="0"/>
        <w:jc w:val="left"/>
        <w:rPr/>
      </w:pPr>
      <w:r>
        <w:rPr/>
        <w:t> </w:t>
      </w:r>
    </w:p>
    <w:tbl>
      <w:tblPr>
        <w:tblW w:w="9214" w:type="dxa"/>
        <w:jc w:val="left"/>
        <w:tblInd w:w="0" w:type="dxa"/>
        <w:tblLayout w:type="fixed"/>
        <w:tblCellMar>
          <w:top w:w="28" w:type="dxa"/>
          <w:left w:w="28" w:type="dxa"/>
          <w:bottom w:w="28" w:type="dxa"/>
          <w:right w:w="28" w:type="dxa"/>
        </w:tblCellMar>
      </w:tblPr>
      <w:tblGrid>
        <w:gridCol w:w="3601"/>
        <w:gridCol w:w="1306"/>
        <w:gridCol w:w="2131"/>
        <w:gridCol w:w="2176"/>
      </w:tblGrid>
      <w:tr>
        <w:trPr/>
        <w:tc>
          <w:tcPr>
            <w:tcW w:w="360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right w:val="single" w:sz="8" w:space="0" w:color="000000"/>
            </w:tcBorders>
            <w:shd w:fill="E7E6E6" w:val="clear"/>
            <w:tcMar>
              <w:bottom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right w:val="single" w:sz="8" w:space="0" w:color="000000"/>
            </w:tcBorders>
            <w:shd w:fill="E7E6E6" w:val="clear"/>
            <w:tcMar>
              <w:left w:w="0" w:type="dxa"/>
              <w:bottom w:w="0" w:type="dxa"/>
            </w:tcM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right w:val="single" w:sz="8" w:space="0" w:color="000000"/>
            </w:tcBorders>
            <w:shd w:fill="E7E6E6" w:val="clear"/>
            <w:tcMar>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Responders*</w:t>
            </w:r>
          </w:p>
        </w:tc>
        <w:tc>
          <w:tcPr>
            <w:tcW w:w="2176" w:type="dxa"/>
            <w:tcBorders>
              <w:top w:val="single" w:sz="8" w:space="0" w:color="000000"/>
              <w:right w:val="single" w:sz="8" w:space="0" w:color="000000"/>
            </w:tcBorders>
            <w:shd w:fill="E7E6E6" w:val="clear"/>
            <w:tcMar>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Responders*</w:t>
            </w:r>
          </w:p>
        </w:tc>
      </w:tr>
      <w:tr>
        <w:trPr/>
        <w:tc>
          <w:tcPr>
            <w:tcW w:w="3601" w:type="dxa"/>
            <w:tcBorders>
              <w:left w:val="single" w:sz="8" w:space="0" w:color="000000"/>
              <w:right w:val="single" w:sz="8" w:space="0" w:color="000000"/>
            </w:tcBorders>
            <w:shd w:fill="E7E6E6" w:val="clear"/>
            <w:tcMar>
              <w:top w:w="0" w:type="dxa"/>
              <w:bottom w:w="0" w:type="dxa"/>
            </w:tcMar>
            <w:vAlign w:val="center"/>
          </w:tcPr>
          <w:p>
            <w:pPr>
              <w:pStyle w:val="TableContents"/>
              <w:bidi w:val="0"/>
              <w:spacing w:before="0" w:after="283"/>
              <w:jc w:val="left"/>
              <w:rPr>
                <w:sz w:val="4"/>
                <w:szCs w:val="4"/>
              </w:rPr>
            </w:pPr>
            <w:r>
              <w:rPr>
                <w:sz w:val="4"/>
                <w:szCs w:val="4"/>
              </w:rPr>
            </w:r>
          </w:p>
        </w:tc>
        <w:tc>
          <w:tcPr>
            <w:tcW w:w="1306"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eGFR &lt; 60</w:t>
            </w:r>
            <w:r>
              <w:rPr>
                <w:rFonts w:ascii="Times New Roman" w:hAnsi="Times New Roman"/>
                <w:color w:val="000000"/>
                <w:sz w:val="20"/>
              </w:rPr>
              <w:t xml:space="preserve"> </w:t>
            </w:r>
          </w:p>
        </w:tc>
        <w:tc>
          <w:tcPr>
            <w:tcW w:w="2131"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 %)</w:t>
            </w:r>
          </w:p>
        </w:tc>
        <w:tc>
          <w:tcPr>
            <w:tcW w:w="2176"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 %)</w:t>
            </w:r>
          </w:p>
        </w:tc>
      </w:tr>
      <w:tr>
        <w:trPr/>
        <w:tc>
          <w:tcPr>
            <w:tcW w:w="3601" w:type="dxa"/>
            <w:tcBorders>
              <w:left w:val="single" w:sz="8" w:space="0" w:color="000000"/>
              <w:bottom w:val="single" w:sz="8" w:space="0" w:color="000000"/>
              <w:right w:val="single" w:sz="8" w:space="0" w:color="000000"/>
            </w:tcBorders>
            <w:shd w:fill="E7E6E6" w:val="clear"/>
            <w:tcMar>
              <w:top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right w:val="single" w:sz="8" w:space="0" w:color="000000"/>
            </w:tcBorders>
            <w:shd w:fill="E7E6E6"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Baseline (n)</w:t>
            </w:r>
          </w:p>
        </w:tc>
        <w:tc>
          <w:tcPr>
            <w:tcW w:w="2131" w:type="dxa"/>
            <w:tcBorders>
              <w:bottom w:val="single" w:sz="8" w:space="0" w:color="000000"/>
              <w:right w:val="single" w:sz="8" w:space="0" w:color="000000"/>
            </w:tcBorders>
            <w:shd w:fill="E7E6E6"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Week 26</w:t>
            </w:r>
          </w:p>
        </w:tc>
        <w:tc>
          <w:tcPr>
            <w:tcW w:w="2176" w:type="dxa"/>
            <w:tcBorders>
              <w:bottom w:val="single" w:sz="8" w:space="0" w:color="000000"/>
              <w:right w:val="single" w:sz="8" w:space="0" w:color="000000"/>
            </w:tcBorders>
            <w:shd w:fill="E7E6E6"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Week 52</w:t>
            </w:r>
          </w:p>
        </w:tc>
      </w:tr>
      <w:tr>
        <w:trPr/>
        <w:tc>
          <w:tcPr>
            <w:tcW w:w="360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 / TransCon PTH</w:t>
            </w:r>
          </w:p>
        </w:tc>
        <w:tc>
          <w:tcPr>
            <w:tcW w:w="1306" w:type="dxa"/>
            <w:vMerge w:val="restart"/>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n=19 </w:t>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n=12</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n=10</w:t>
            </w:r>
          </w:p>
        </w:tc>
      </w:tr>
      <w:tr>
        <w:trPr/>
        <w:tc>
          <w:tcPr>
            <w:tcW w:w="3601" w:type="dxa"/>
            <w:vMerge w:val="continue"/>
            <w:tcBorders>
              <w:left w:val="single" w:sz="8" w:space="0" w:color="000000"/>
              <w:bottom w:val="single" w:sz="8" w:space="0" w:color="000000"/>
              <w:right w:val="single" w:sz="8" w:space="0" w:color="000000"/>
            </w:tcBorders>
            <w:shd w:fill="FFFFFF" w:val="clear"/>
            <w:tcMar>
              <w:top w:w="0" w:type="dxa"/>
            </w:tcMar>
            <w:vAlign w:val="center"/>
          </w:tcPr>
          <w:p>
            <w:pPr>
              <w:pStyle w:val="Normal"/>
              <w:bidi w:val="0"/>
              <w:jc w:val="left"/>
              <w:rPr/>
            </w:pPr>
            <w:r>
              <w:rPr/>
            </w:r>
          </w:p>
        </w:tc>
        <w:tc>
          <w:tcPr>
            <w:tcW w:w="1306" w:type="dxa"/>
            <w:vMerge w:val="continue"/>
            <w:tcBorders>
              <w:bottom w:val="single" w:sz="8" w:space="0" w:color="000000"/>
              <w:right w:val="single" w:sz="8" w:space="0" w:color="000000"/>
            </w:tcBorders>
            <w:shd w:fill="FFFFFF" w:val="clear"/>
            <w:tcMar>
              <w:top w:w="0" w:type="dxa"/>
              <w:left w:w="0" w:type="dxa"/>
            </w:tcMar>
            <w:vAlign w:val="center"/>
          </w:tcPr>
          <w:p>
            <w:pPr>
              <w:pStyle w:val="Normal"/>
              <w:bidi w:val="0"/>
              <w:jc w:val="left"/>
              <w:rPr/>
            </w:pPr>
            <w:r>
              <w:rPr/>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360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Placebo (first 26 weeks) / TransCon PTH**</w:t>
            </w:r>
          </w:p>
        </w:tc>
        <w:tc>
          <w:tcPr>
            <w:tcW w:w="1306" w:type="dxa"/>
            <w:vMerge w:val="restart"/>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n=4</w:t>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n=0</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n=3</w:t>
            </w:r>
          </w:p>
        </w:tc>
      </w:tr>
      <w:tr>
        <w:trPr/>
        <w:tc>
          <w:tcPr>
            <w:tcW w:w="3601" w:type="dxa"/>
            <w:vMerge w:val="continue"/>
            <w:tcBorders>
              <w:left w:val="single" w:sz="8" w:space="0" w:color="000000"/>
              <w:bottom w:val="single" w:sz="8" w:space="0" w:color="000000"/>
              <w:right w:val="single" w:sz="8" w:space="0" w:color="000000"/>
            </w:tcBorders>
            <w:shd w:fill="FFFFFF" w:val="clear"/>
            <w:tcMar>
              <w:top w:w="0" w:type="dxa"/>
            </w:tcMar>
            <w:vAlign w:val="center"/>
          </w:tcPr>
          <w:p>
            <w:pPr>
              <w:pStyle w:val="Normal"/>
              <w:bidi w:val="0"/>
              <w:jc w:val="left"/>
              <w:rPr/>
            </w:pPr>
            <w:r>
              <w:rPr/>
            </w:r>
          </w:p>
        </w:tc>
        <w:tc>
          <w:tcPr>
            <w:tcW w:w="1306" w:type="dxa"/>
            <w:vMerge w:val="continue"/>
            <w:tcBorders>
              <w:bottom w:val="single" w:sz="8" w:space="0" w:color="000000"/>
              <w:right w:val="single" w:sz="8" w:space="0" w:color="000000"/>
            </w:tcBorders>
            <w:shd w:fill="FFFFFF" w:val="clear"/>
            <w:tcMar>
              <w:top w:w="0" w:type="dxa"/>
              <w:left w:w="0" w:type="dxa"/>
            </w:tcMar>
            <w:vAlign w:val="center"/>
          </w:tcPr>
          <w:p>
            <w:pPr>
              <w:pStyle w:val="Normal"/>
              <w:bidi w:val="0"/>
              <w:jc w:val="left"/>
              <w:rPr/>
            </w:pPr>
            <w:r>
              <w:rPr/>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rPr/>
        <w:tc>
          <w:tcPr>
            <w:tcW w:w="360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PaTHway Trial</w:t>
            </w:r>
          </w:p>
        </w:tc>
        <w:tc>
          <w:tcPr>
            <w:tcW w:w="1306" w:type="dxa"/>
            <w:vMerge w:val="restart"/>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n=23</w:t>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n=12</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n=13</w:t>
            </w:r>
          </w:p>
        </w:tc>
      </w:tr>
      <w:tr>
        <w:trPr/>
        <w:tc>
          <w:tcPr>
            <w:tcW w:w="3601" w:type="dxa"/>
            <w:vMerge w:val="continue"/>
            <w:tcBorders>
              <w:left w:val="single" w:sz="8" w:space="0" w:color="000000"/>
              <w:bottom w:val="single" w:sz="8" w:space="0" w:color="000000"/>
              <w:right w:val="single" w:sz="8" w:space="0" w:color="000000"/>
            </w:tcBorders>
            <w:shd w:fill="FFFFFF" w:val="clear"/>
            <w:tcMar>
              <w:top w:w="0" w:type="dxa"/>
            </w:tcMar>
            <w:vAlign w:val="center"/>
          </w:tcPr>
          <w:p>
            <w:pPr>
              <w:pStyle w:val="Normal"/>
              <w:bidi w:val="0"/>
              <w:jc w:val="left"/>
              <w:rPr/>
            </w:pPr>
            <w:r>
              <w:rPr/>
            </w:r>
          </w:p>
        </w:tc>
        <w:tc>
          <w:tcPr>
            <w:tcW w:w="1306" w:type="dxa"/>
            <w:vMerge w:val="continue"/>
            <w:tcBorders>
              <w:bottom w:val="single" w:sz="8" w:space="0" w:color="000000"/>
              <w:right w:val="single" w:sz="8" w:space="0" w:color="000000"/>
            </w:tcBorders>
            <w:shd w:fill="FFFFFF" w:val="clear"/>
            <w:tcMar>
              <w:top w:w="0" w:type="dxa"/>
              <w:left w:w="0" w:type="dxa"/>
            </w:tcMar>
            <w:vAlign w:val="center"/>
          </w:tcPr>
          <w:p>
            <w:pPr>
              <w:pStyle w:val="Normal"/>
              <w:bidi w:val="0"/>
              <w:jc w:val="left"/>
              <w:rPr/>
            </w:pPr>
            <w:r>
              <w:rPr/>
            </w:r>
          </w:p>
        </w:tc>
        <w:tc>
          <w:tcPr>
            <w:tcW w:w="213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21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eGFR based on central lab data using the MDRD Study Group formula. </w:t>
        <w:br/>
        <w:t>* Responders defined as moving from eGFR &lt; 60 to eGFR ≥ 60. Units in (mL/min/1.73m</w:t>
      </w:r>
      <w:r>
        <w:rPr>
          <w:rFonts w:ascii="Times New Roman" w:hAnsi="Times New Roman"/>
          <w:i/>
          <w:color w:val="000000"/>
          <w:sz w:val="13"/>
        </w:rPr>
        <w:t>2</w:t>
      </w:r>
      <w:r>
        <w:rPr>
          <w:rFonts w:ascii="Times New Roman" w:hAnsi="Times New Roman"/>
          <w:i/>
          <w:color w:val="000000"/>
          <w:sz w:val="20"/>
        </w:rPr>
        <w:t>).</w:t>
        <w:br/>
        <w:t>** Patients in the placebo arm switched to TransCon PTH following the Week 26 visit.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we announced one-year (Week 52) data from the open-label extension (“OLE”) portion of the Phase 3 PaTHway Trial of TransCon PTH in adults with hypoparathyroidism. PaTHway is a Phase 3 trial of TransCon PTH with a placebo-controlled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placebo/TransCon PTH) completed Week 52. The data showed that treatment with TransCon PTH resulted in sustained improvements through Week 52, as well as safety and tolerability similar to that reported for the initial 26-week blinded portion of the trial. As of March 31, 2024, 75 out of 79 patients continue in the OLE and have exceeded two years of follow-up in the PaTHway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2023, we announced that we started enrollment for a Compassionate Use Program (“CUP”) in Germany for TransCon PTH (palopegteriparatide). The CUP was approved by Germany’s Federal Institute for Drugs &amp; Medical Devices (Bundesinstitut für Arzneimittel &amp; Medizinprodukte). Through the CUP, treating physicians can request TransCon PTH (palopegteriparatide) for eligible adult patients with hypoparathyroidism whose clinical condition, in the opinion of the treating physician, requires PTH treatment with palopegteriparatide, and who cannot be adequately treated with currently approved products or participate in a palopegteriparatide clinical trial. Following the German commercial launch of YORVIPATH in January 2024, the CUP closed.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composite endpoint, which was defined as serum calcium levels in the normal range (8.3–10.6 mg/dL) and independence from conventional therapy (no active vitamin D and ≤600 mg/day of calcium). In this trial, TransCon PTH was generally well-tolerated, with no discontinuations related to study drug. As of March 31, 2024, 12 patients continue in the ongoing 3-year extension portion of the PaTHway Japan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the FDA allowed us to initiate a U.S. expanded access program (“EAP”) for TransCon PTH for eligible adult patients with hypoparathyroidism with prior PTH treatment experience. This EAP is open for enrollment, allowing U.S. physicians to request access to investigational TransCon PTH for their eligible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2022, we announced new Week 110 data from the Phase 2 PaTH Forward Trial showing that long-term therapy with TransCon PTH provided a durable response in adult patients with hypoparathyroidism, as evidenced by maintenance of normal mean serum calcium levels and 93% of patients achieving independence from conventional therapy (no active vitamin D and ≤600 mg/day of calcium). Fifty-seven subjects exceeded three years of follow-up in the PaTH Forward Trial. As of March 31, 2024, 56 out of the 59 patients originally enrolled in the trial continued in the OLE portion, where they receive an individualized maintenance dose of TransCon PTH. Three patients withdrew from the trial for reasons unrelated to safety or efficacy of the study drug.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2018, we were granted Orphan Drug Designation (“ODD”) by the FDA, for TransCon PTH for the treatment of hypoparathyroidism. In October 2020, we were granted Orphan designation (“OD”) by the European Commission (“EC”) for TransCon PTH for the treatment of hypoparathyroidism. In July 2021, the Ministry of Health, Labour and Welfare in Japan granted ODD to TransCon PTH for the treatment of hypoparathyroidism.</w:t>
      </w:r>
    </w:p>
    <w:p>
      <w:pPr>
        <w:pStyle w:val="TextBody"/>
        <w:bidi w:val="0"/>
        <w:spacing w:before="36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the most common genetic form of skeletal dysplasia leading to disproportionate short stature and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primarily caused by gain-of-function variants of the FGFR3 gene resulting in constitutive activation of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 and dysfunction in the skeletal muscle. Preclinical and clinical data show that the CNP pathway helps to counteract the effects of the FGFR3 mutation downstream.</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VOXZOGO</w:t>
      </w:r>
      <w:r>
        <w:rPr>
          <w:rFonts w:ascii="Times New Roman" w:hAnsi="Times New Roman"/>
          <w:color w:val="000000"/>
          <w:sz w:val="13"/>
        </w:rPr>
        <w:t>®</w:t>
      </w:r>
      <w:r>
        <w:rPr>
          <w:rFonts w:ascii="Times New Roman" w:hAnsi="Times New Roman"/>
          <w:color w:val="000000"/>
          <w:sz w:val="20"/>
        </w:rPr>
        <w:t xml:space="preserve"> (vosoritide) was approved by the FDA and is indicated to increase linear growth in pediatric patients with achondroplasia with open epiphyses. Other companies that are developing therapies for achondroplasia include QED Therapeutics (a BridgeBio company), Sanofi, Ribomic, Tyra Biosciences, and ProLynx.</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spacing w:before="120" w:after="283"/>
        <w:jc w:val="center"/>
        <w:rPr/>
      </w:pPr>
      <w:r>
        <w:rPr/>
        <w:drawing>
          <wp:inline distT="0" distB="0" distL="0" distR="0">
            <wp:extent cx="5943600" cy="2105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105025"/>
                    </a:xfrm>
                    <a:prstGeom prst="rect">
                      <a:avLst/>
                    </a:prstGeom>
                  </pic:spPr>
                </pic:pic>
              </a:graphicData>
            </a:graphic>
          </wp:inline>
        </w:drawing>
      </w: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br/>
        <w:t>HRQoL: Reduced Health-Related Quality of Life; Height; Reduced height. Muscle Strength/Stamina; Reduced muscular functionality, including reduced strength and stamina.</w:t>
      </w:r>
    </w:p>
    <w:p>
      <w:pPr>
        <w:pStyle w:val="TextBody"/>
        <w:bidi w:val="0"/>
        <w:spacing w:before="360" w:after="283"/>
        <w:jc w:val="left"/>
        <w:rPr>
          <w:rFonts w:ascii="Times New Roman" w:hAnsi="Times New Roman"/>
          <w:sz w:val="20"/>
        </w:rPr>
      </w:pPr>
      <w:r>
        <w:rPr>
          <w:rFonts w:ascii="Times New Roman" w:hAnsi="Times New Roman"/>
          <w:i/>
          <w:color w:val="000000"/>
          <w:sz w:val="20"/>
        </w:rPr>
        <w:t>Our Solution: 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Cmax levels that may cause adverse cardiovascular events. We believe the therapeutically sustained release of TransCon CNP offers advantages that may mitigate this issue, leading to more constant CNP exposure at lower Cmax to correlate with better therapeutic outcomes.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pivotal ApproaCH Trial, ACcomplisH trial, and our long-term extension trial AttaCH, are evaluating the safety and efficacy of TransCon CNP in children with achondroplasia. The ongoing reACHin Trial is evaluating the safety, tolerability, and efficacy of TransCon CNP in infants with achondroplasia (aged 0 to &lt; 2 years at the time of randomization).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our plan to submit an Investigational New Drug (“IND”) application or similar in the fourth quarter of 2024 to initiate a trial to evaluate TransCon CNP in adults with achondroplasia.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portions of ACcomplisH, a Phase 2 randomized, double-blind, placebo-controlled, dose-escalation trial of TransCon CNP in children ages 2-10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blinded or OLE part and were treated for one year (n=19), compared to those administered placebo for one year (n=15). Results showed that these TransCon CNP-treated patients (data available for 9-16 patients) showed significant improvements in health-related quality of life and disease impacts compared to those receiving placebo (data available for 5-13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ages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jc w:val="left"/>
        <w:rPr/>
      </w:pPr>
      <w:r>
        <w:rPr/>
        <w:t> </w:t>
      </w:r>
    </w:p>
    <w:p>
      <w:pPr>
        <w:pStyle w:val="TextBody"/>
        <w:bidi w:val="0"/>
        <w:jc w:val="center"/>
        <w:rPr/>
      </w:pPr>
      <w:r>
        <w:rPr/>
        <w:drawing>
          <wp:inline distT="0" distB="0" distL="0" distR="0">
            <wp:extent cx="5943600" cy="2514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5146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fourth quarter of 2023, we filed a Clinical Trial Application for COACH, a Phase 2 open-label single-arm trial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plans to enroll approximately 18 patients (treatment naïve, n=12; prior treatment with TransCon CNP (100 µg/kg/week) for at least 1 year, n=6). Week 26 topline data from the COACH Trial are expected in the fourth quarter of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September 2023, we announced completion of enrollment in ApproaCH with a total of 84 subjects randomized. U.S. and EU regulatory agencies have endorsed ApproaCH, a global randomized, double-blind, placebo-controlled trial in children ages 2–11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fourth quarter 2024. In addition, we intend to use the results from ApproaCH in connection with a planned NDA submission to FDA for TransCon CNP for children with achondroplasia (age 2-11 years) in the fourth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two to ten years old.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annualized growth velocity (“AGV”) at 52 weeks (p=0.0218). All 57 randomized children completed the blinded portion of ACcomplisH and continued in the OLE portion of ACcomplisH at the 100 µg/kg/week dose. As of March 31, 2024, the first 28 patients completed the OLE portion of the ACcomplisH Trial and transitioned into the Phase 2 AttaCH Trial, a multicenter, long-term, open label extension and 27 continue treatment; 28 patients continue in OLE portion of ACcomplisH.</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Additional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demonstrated a consistent dose-dependent increase in AGV across the four dose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Mean improvements in AGV for TransCon CNP-treated patients were consistent across age groups &lt;5 years and &gt;5 years, with dose response established.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at 100 µg/kg/week improved change in achondroplasia-specific height SDS compared to placebo (p=0.0283).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 tolerated, with no discontinuations.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serious adverse events (“SAEs”) related to treatment were reported; two unrelated SAEs were reported.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Injections were generally well tolerated with low frequency of injection site reactions (“ISRs”):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 mild ISRs (in 8 patients) out of &gt;2,000 injections.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Investigator-assessed achondroplasia-related AEs were less frequently reported among participants receiving TransCon CNP (31%; 13/42) compared with placebo (60%; 9/15).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is designed to evaluate growth velocity, body proportionality, and comorbidities over time in children with achondroplasia up to eight years old. No study medication was administered in the ACHieve Study. The study ended in the first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 from the EC for TransCon CNP for the treatment of achondroplasia.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Another approach is to target the drug activity into tumors via intratumoral injection using our sustained localized release TransCon hydrogel technology, aiming for high activity in the tumor microenvironment while limiting systemic adverse events. While one intratumoral treatment has been approved for the local treatment of recurrent melanoma, the overall success of intratumoral treatments has been limited to date. This is likely partly due to lack of prolonged intratumoral exposure of active drug levels, and resulting in the potential need for more frequent dosing.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Our Solution: 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two clinical-stage product candidates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with the potential to achieve sustained local release at predictable levels, we believe TransCon hydrogel product candidates may allow for improved efficacy and reduced dosing frequency of intratumorally administered therapies, potentially enabling treatments of multiple tumor types, including those that cannot be easily accessed for frequent injection. </w:t>
      </w:r>
    </w:p>
    <w:p>
      <w:pPr>
        <w:pStyle w:val="TextBody"/>
        <w:bidi w:val="0"/>
        <w:spacing w:before="360" w:after="283"/>
        <w:jc w:val="left"/>
        <w:rPr>
          <w:rFonts w:ascii="Times New Roman" w:hAnsi="Times New Roman"/>
          <w:sz w:val="20"/>
        </w:rPr>
      </w:pPr>
      <w:r>
        <w:rPr>
          <w:rFonts w:ascii="Times New Roman" w:hAnsi="Times New Roman"/>
          <w:i/>
          <w:color w:val="000000"/>
          <w:sz w:val="20"/>
        </w:rPr>
        <w:t>Development of TransCon Product Candidates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product candidates in oncology are designed to provide sustained systemic or intratumoral administration, which we believe could provide potent and durable anti-tumor efficacy. Our nonclinical studies have shown sustained activation of cytotoxic immune cells that resulted in robust anti-tumor responses by TransCon product candidates using infrequent administration.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Two of our oncology product candidates,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are now in clinical development. In addition, we believe that a combination of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may have the potential to produce greater anti-tumor activity than either candidate alone.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TransCon TLR7/8 Agonist for sustained localized release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TLR7/8 Agonist is an investigational long-acting prodrug, designed for sustained intratumoral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has completed dose escalation and is enrolling patients in four indication-specific cohorts where increased TLR7/8 activity has potential to improve innate and adaptive immune activation and host defense against cancers: head and neck squamous cell carcinoma (HNSCC), HPV-associated cancers, melanoma, and cutaneous squamous cell carcinoma (cSCC). Initial data from these cohorts are expected by the end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2023, we announced additional follow-up from the transcendIT-101 Trial indicating further clinical activity in patients receiving TransCon TLR7/8 Agonist as monotherapy or in combination with pembrolizumab. Enrollment continues in the Phase 2 portion of transcendIT-101 at the recommended Phase 2 dose (“RP2D”).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we announced new data (cutoff date of September 21, 2022)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indication specific cohorts.</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b</w:t>
      </w:r>
      <w:r>
        <w:rPr>
          <w:rFonts w:ascii="Times New Roman" w:hAnsi="Times New Roman"/>
          <w:b/>
          <w:i/>
          <w:color w:val="000000"/>
          <w:sz w:val="20"/>
        </w:rPr>
        <w:t>/</w:t>
      </w:r>
      <w:r>
        <w:rPr>
          <w:rFonts w:ascii="Symbol;serif" w:hAnsi="Symbol;serif"/>
          <w:b/>
          <w:i/>
          <w:color w:val="000000"/>
          <w:sz w:val="20"/>
        </w:rPr>
        <w:t>g</w:t>
      </w:r>
      <w:r>
        <w:rPr>
          <w:rFonts w:ascii="Times New Roman" w:hAnsi="Times New Roman"/>
          <w:color w:val="000000"/>
          <w:sz w:val="20"/>
        </w:rPr>
        <w:t xml:space="preserve">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(onvapegleukin alfa) is an investigational long-acting prodrug designed to improve cancer immunotherapy through sustained release of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in locally advanced or metastatic solid tumors, alone or in combination with pembrolizumab or standard of care chemotherapy, has completed dose escalation and is enrolling patients in multiple indication-specific dose expansion cohorts, including platinum-resistant ovarian cancer (PROC), cervical cancer, melanoma,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non-small cell lung cancer (NSCLC), and small cell lung cancer (SCLC) at the RP2D. Initial data from these cohorts are expected by the end of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2023, the first patient was dosed with the combination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and TransCon TLR7/8 Agonist in the post PD-1 melanoma dose expansion cohort in the IL-Believe Trial.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new and updated data from the ongoing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monotherapy (colorectal cancer with confirmed partial response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2023, we announced completion of the Phase 1 monotherapy dose escalation of the IL-Believe Trial with RP2D determined at 120 µg/kg IV every three weeks with 25 heavily pre-treated patients enrolled and a median of four prior lines of systemic therapies.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Development Plans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further evaluate safety and anti-tumor efficacy of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we are also evaluating these product candidates as neoadjuvant therapy in the ongoing randomized Phase 2 BelieveIT-201 trial in resectable locally advanced head and neck squamous cell carcinoma. </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Limited for the further development and commercialization of TransCon hGH, TransCon PTH, and TransCon CNP for endocrinology rare disease in Japan. Under the terms of the agreement with Teijin Limited, we received an upfront payment of $70 million, with additional development and regulatory milestones of up to $175 million, transfer pricing and commercial milestones. In addition, we are eligible to receive royalties on net sales in Japan, of up to mid-20’s percent, varying by product.</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43.93% of VISEN’s issued and outstanding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VISEN announced that the BLA for lonapegsomatropin (TransCon hGH) was accepted by the China National Medical Products Administration. Lonapegsomatropin is the first once-weekly administrated growth hormone approved by both the FDA and EMA for the treatment of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The trial met its primary objectives, demonstrating that TransCon CNP at 100 µg/kg/week was superior to placebo on the primary efficacy endpoint of AGV at 52 weeks (p=0.018).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The trial achieved its primary endpoint; patients treated with TransCon hGH demonstrated greater annualized height velocity at 52-weeks (p=0.0010) compared to patients treated with daily growth hormone with comparable safety and tolerability to daily growth hormone.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VISEN announced it had completed enrollment of the Phase 3 PaTHway China Trial of TransCon PTH.</w:t>
      </w:r>
    </w:p>
    <w:p>
      <w:pPr>
        <w:pStyle w:val="TextBody"/>
        <w:bidi w:val="0"/>
        <w:spacing w:before="360" w:after="283"/>
        <w:jc w:val="left"/>
        <w:rPr>
          <w:rFonts w:ascii="Times New Roman" w:hAnsi="Times New Roman"/>
          <w:sz w:val="20"/>
        </w:rPr>
      </w:pPr>
      <w:r>
        <w:rPr>
          <w:rFonts w:ascii="Times New Roman" w:hAnsi="Times New Roman"/>
          <w:i/>
          <w:color w:val="000000"/>
          <w:sz w:val="20"/>
        </w:rPr>
        <w:t>Market Opportunity in China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360" w:after="283"/>
        <w:jc w:val="left"/>
        <w:rPr>
          <w:rFonts w:ascii="Times New Roman" w:hAnsi="Times New Roman"/>
          <w:sz w:val="20"/>
        </w:rPr>
      </w:pPr>
      <w:r>
        <w:rPr>
          <w:rFonts w:ascii="Times New Roman" w:hAnsi="Times New Roman"/>
          <w:i/>
          <w:color w:val="000000"/>
          <w:sz w:val="20"/>
        </w:rPr>
        <w:t>Rights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360" w:after="283"/>
        <w:jc w:val="left"/>
        <w:rPr>
          <w:rFonts w:ascii="Times New Roman" w:hAnsi="Times New Roman"/>
          <w:sz w:val="20"/>
        </w:rPr>
      </w:pPr>
      <w:r>
        <w:rPr>
          <w:rFonts w:ascii="Times New Roman" w:hAnsi="Times New Roman"/>
          <w:i/>
          <w:color w:val="000000"/>
          <w:sz w:val="20"/>
        </w:rPr>
        <w:t>Amended and Restated Shareholders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initially Jan Møller Mikkelsen and Michael Wolff Jensen.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Eyconis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granted Eyconis exclusive rights to develop and commercialize TransCon ophthalmology products globally and received an equity position in the newly formed company. In addition, we will be eligible to receive development, regulatory, and sales milestone payments, plus single digit royalties on global net sales of commercialized products, if any. Eyconis will initially be based in Redwood City, California, and certain employees of Ascendis have joined the newly formed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00"/>
        <w:jc w:val="left"/>
        <w:rPr>
          <w:rFonts w:ascii="Times New Roman" w:hAnsi="Times New Roman"/>
          <w:b/>
          <w:color w:val="000000"/>
          <w:sz w:val="20"/>
        </w:rPr>
      </w:pPr>
      <w:r>
        <w:rPr>
          <w:rFonts w:ascii="Times New Roman" w:hAnsi="Times New Roman"/>
          <w:b/>
          <w:color w:val="000000"/>
          <w:sz w:val="20"/>
        </w:rPr>
        <w:t>Comparison of the Three Months Ended March 31, 2024 and 2023 (unaudited)</w:t>
      </w:r>
    </w:p>
    <w:tbl>
      <w:tblPr>
        <w:tblW w:w="6379"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Profit or (Loss)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w:t>
            </w:r>
          </w:p>
        </w:tc>
        <w:tc>
          <w:tcPr>
            <w:tcW w:w="21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28,968</w:t>
            </w:r>
          </w:p>
        </w:tc>
        <w:tc>
          <w:tcPr>
            <w:tcW w:w="21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106,114</w:t>
            </w:r>
          </w:p>
        </w:tc>
        <w:tc>
          <w:tcPr>
            <w:tcW w:w="21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(49,145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(143,685</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w:t>
            </w:r>
          </w:p>
        </w:tc>
        <w:tc>
          <w:tcPr>
            <w:tcW w:w="21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(109,617</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a net loss of €131.0 million for the three months ended March 31, 2024, compared to a net loss of €110.9 million for the same period last year. Total equity presented a negative balance of €238.2 million as of March 31, 2024, compared to a negative balance of €145.7 million as of December 31, 2023. Further details about our results of operations are described in the following sections.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Revenue for the three months ended March 31, 2024, was €95.9 million, representing an increase of €62.3 million, compared to the three months ended March 31, 2023. This increase was primarily attributable to sale of SKYTROFA</w:t>
      </w:r>
      <w:r>
        <w:rPr>
          <w:rFonts w:ascii="Times New Roman" w:hAnsi="Times New Roman"/>
          <w:color w:val="000000"/>
          <w:sz w:val="13"/>
        </w:rPr>
        <w:t>®</w:t>
      </w:r>
      <w:r>
        <w:rPr>
          <w:rFonts w:ascii="Times New Roman" w:hAnsi="Times New Roman"/>
          <w:color w:val="000000"/>
          <w:sz w:val="20"/>
        </w:rPr>
        <w:t>, recognition of non-cash license revenue of €24.8 million related to our exclusive license agreement with Eyconis in January 2024, and the launch of YORVIPATH</w:t>
      </w:r>
      <w:r>
        <w:rPr>
          <w:rFonts w:ascii="Times New Roman" w:hAnsi="Times New Roman"/>
          <w:color w:val="000000"/>
          <w:sz w:val="13"/>
        </w:rPr>
        <w:t>®</w:t>
      </w:r>
      <w:r>
        <w:rPr>
          <w:rFonts w:ascii="Times New Roman" w:hAnsi="Times New Roman"/>
          <w:color w:val="000000"/>
          <w:sz w:val="20"/>
        </w:rPr>
        <w:t xml:space="preserve">, which we began shipping to customers in Germany and Austria in February 2024.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revenue from sale of commercial products was as follows:</w:t>
      </w:r>
    </w:p>
    <w:tbl>
      <w:tblPr>
        <w:tblW w:w="10205" w:type="dxa"/>
        <w:jc w:val="left"/>
        <w:tblInd w:w="0" w:type="dxa"/>
        <w:tblLayout w:type="fixed"/>
        <w:tblCellMar>
          <w:top w:w="28" w:type="dxa"/>
          <w:left w:w="28" w:type="dxa"/>
          <w:bottom w:w="28" w:type="dxa"/>
          <w:right w:w="28" w:type="dxa"/>
        </w:tblCellMar>
      </w:tblPr>
      <w:tblGrid>
        <w:gridCol w:w="2348"/>
        <w:gridCol w:w="146"/>
        <w:gridCol w:w="212"/>
        <w:gridCol w:w="988"/>
        <w:gridCol w:w="146"/>
        <w:gridCol w:w="146"/>
        <w:gridCol w:w="191"/>
        <w:gridCol w:w="892"/>
        <w:gridCol w:w="146"/>
        <w:gridCol w:w="146"/>
        <w:gridCol w:w="257"/>
        <w:gridCol w:w="1197"/>
        <w:gridCol w:w="146"/>
        <w:gridCol w:w="146"/>
        <w:gridCol w:w="249"/>
        <w:gridCol w:w="1160"/>
        <w:gridCol w:w="146"/>
        <w:gridCol w:w="146"/>
        <w:gridCol w:w="212"/>
        <w:gridCol w:w="988"/>
        <w:gridCol w:w="197"/>
      </w:tblGrid>
      <w:tr>
        <w:trPr/>
        <w:tc>
          <w:tcPr>
            <w:tcW w:w="2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51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4"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7" w:type="dxa"/>
            <w:tcBorders/>
            <w:shd w:fill="FFFFFF" w:val="clear"/>
            <w:vAlign w:val="center"/>
          </w:tcPr>
          <w:p>
            <w:pPr>
              <w:pStyle w:val="TableContents"/>
              <w:bidi w:val="0"/>
              <w:spacing w:before="0" w:after="283"/>
              <w:jc w:val="center"/>
              <w:rPr/>
            </w:pPr>
            <w:r>
              <w:rPr/>
              <w:t> </w:t>
            </w:r>
          </w:p>
        </w:tc>
      </w:tr>
      <w:tr>
        <w:trPr/>
        <w:tc>
          <w:tcPr>
            <w:tcW w:w="23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 of commercial products</w:t>
            </w:r>
          </w:p>
        </w:tc>
        <w:tc>
          <w:tcPr>
            <w:tcW w:w="146" w:type="dxa"/>
            <w:tcBorders/>
            <w:shd w:fill="CFF0FC" w:val="cle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31,551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for the three months ended March 31, 2024, was €7.6 million, representing an increase of €2.9 million, compared to the three months ended March 31, 2023. This increase was primarily attributable to higher commercial revenue.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costs.</w:t>
      </w:r>
    </w:p>
    <w:tbl>
      <w:tblPr>
        <w:tblW w:w="6194" w:type="dxa"/>
        <w:jc w:val="left"/>
        <w:tblInd w:w="0" w:type="dxa"/>
        <w:tblLayout w:type="fixed"/>
        <w:tblCellMar>
          <w:top w:w="28" w:type="dxa"/>
          <w:left w:w="28" w:type="dxa"/>
          <w:bottom w:w="28" w:type="dxa"/>
          <w:right w:w="28" w:type="dxa"/>
        </w:tblCellMar>
      </w:tblPr>
      <w:tblGrid>
        <w:gridCol w:w="3796"/>
        <w:gridCol w:w="146"/>
        <w:gridCol w:w="146"/>
        <w:gridCol w:w="676"/>
        <w:gridCol w:w="166"/>
        <w:gridCol w:w="146"/>
        <w:gridCol w:w="146"/>
        <w:gridCol w:w="78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hGH</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CNP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IL-2 ß/γ</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TLR7/8 Agonist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Ophthalmology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project costs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63,384</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32,583</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costs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pPr>
      <w:r>
        <w:rPr>
          <w:rFonts w:ascii="Times New Roman" w:hAnsi="Times New Roman"/>
          <w:color w:val="000000"/>
          <w:sz w:val="18"/>
        </w:rPr>
        <w:t xml:space="preserve">For the three months ended March 31, 2023, other project costs of €2.8 million was reclassified to Ophthalmology and TransCon IL-2 </w:t>
      </w:r>
      <w:r>
        <w:rPr>
          <w:rFonts w:ascii="Symbol;serif" w:hAnsi="Symbol;serif"/>
          <w:color w:val="000000"/>
          <w:sz w:val="18"/>
        </w:rPr>
        <w:t>b</w:t>
      </w:r>
      <w:r>
        <w:rPr>
          <w:rFonts w:ascii="Times New Roman" w:hAnsi="Times New Roman"/>
          <w:color w:val="000000"/>
          <w:sz w:val="18"/>
        </w:rPr>
        <w:t>/</w:t>
      </w:r>
      <w:r>
        <w:rPr>
          <w:rFonts w:ascii="Symbol;serif" w:hAnsi="Symbol;serif"/>
          <w:color w:val="000000"/>
          <w:sz w:val="18"/>
        </w:rPr>
        <w:t>g,</w:t>
      </w:r>
      <w:r>
        <w:rPr>
          <w:color w:val="000000"/>
        </w:rPr>
        <w:t xml:space="preserve"> </w:t>
      </w:r>
      <w:r>
        <w:rPr>
          <w:rFonts w:ascii="Times New Roman" w:hAnsi="Times New Roman"/>
          <w:color w:val="000000"/>
          <w:sz w:val="18"/>
        </w:rPr>
        <w:t xml:space="preserve">with €1.7 million and €1.1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R&amp;D costs for the three months ended March 31, 2024, was €70.7 million, representing a decrease of €35.4 million, compared to the three months ended March 31, 2023. This decrease was primarily due to lower external project costs, reflecting the maturity of our endocrinology rare disease pipeline. In addition, the three months ended March 31, 2024, includes reversal (income) of prior period write-downs of pre-launch inventories for TransCon PTH of €10.6 million due to the launch of YORVIPATH in the EU in January 2024.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external project costs was as follows:</w:t>
      </w:r>
    </w:p>
    <w:tbl>
      <w:tblPr>
        <w:tblW w:w="10205" w:type="dxa"/>
        <w:jc w:val="left"/>
        <w:tblInd w:w="0" w:type="dxa"/>
        <w:tblLayout w:type="fixed"/>
        <w:tblCellMar>
          <w:top w:w="28" w:type="dxa"/>
          <w:left w:w="28" w:type="dxa"/>
          <w:bottom w:w="28" w:type="dxa"/>
          <w:right w:w="28" w:type="dxa"/>
        </w:tblCellMar>
      </w:tblPr>
      <w:tblGrid>
        <w:gridCol w:w="2304"/>
        <w:gridCol w:w="146"/>
        <w:gridCol w:w="213"/>
        <w:gridCol w:w="992"/>
        <w:gridCol w:w="146"/>
        <w:gridCol w:w="146"/>
        <w:gridCol w:w="192"/>
        <w:gridCol w:w="894"/>
        <w:gridCol w:w="146"/>
        <w:gridCol w:w="146"/>
        <w:gridCol w:w="258"/>
        <w:gridCol w:w="1202"/>
        <w:gridCol w:w="146"/>
        <w:gridCol w:w="146"/>
        <w:gridCol w:w="250"/>
        <w:gridCol w:w="1165"/>
        <w:gridCol w:w="146"/>
        <w:gridCol w:w="146"/>
        <w:gridCol w:w="213"/>
        <w:gridCol w:w="992"/>
        <w:gridCol w:w="216"/>
      </w:tblGrid>
      <w:tr>
        <w:trPr/>
        <w:tc>
          <w:tcPr>
            <w:tcW w:w="2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3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39"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6" w:type="dxa"/>
            <w:tcBorders/>
            <w:shd w:fill="FFFFFF" w:val="clear"/>
            <w:vAlign w:val="center"/>
          </w:tcPr>
          <w:p>
            <w:pPr>
              <w:pStyle w:val="TableContents"/>
              <w:bidi w:val="0"/>
              <w:spacing w:before="0" w:after="283"/>
              <w:jc w:val="center"/>
              <w:rPr/>
            </w:pPr>
            <w:r>
              <w:rPr/>
              <w:t> </w:t>
            </w:r>
          </w:p>
        </w:tc>
      </w:tr>
      <w:tr>
        <w:trPr/>
        <w:tc>
          <w:tcPr>
            <w:tcW w:w="2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2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hGH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216" w:type="dxa"/>
            <w:tcBorders/>
            <w:shd w:fill="FFFFFF" w:val="clear"/>
            <w:vAlign w:val="center"/>
          </w:tcPr>
          <w:p>
            <w:pPr>
              <w:pStyle w:val="TableContents"/>
              <w:bidi w:val="0"/>
              <w:spacing w:before="0" w:after="283"/>
              <w:jc w:val="left"/>
              <w:rPr/>
            </w:pPr>
            <w:r>
              <w:rPr/>
              <w:t> </w:t>
            </w:r>
          </w:p>
        </w:tc>
      </w:tr>
      <w:tr>
        <w:trPr/>
        <w:tc>
          <w:tcPr>
            <w:tcW w:w="2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CNP</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15,744</w:t>
            </w:r>
          </w:p>
        </w:tc>
        <w:tc>
          <w:tcPr>
            <w:tcW w:w="216" w:type="dxa"/>
            <w:tcBorders/>
            <w:shd w:fill="FFFFFF" w:val="clear"/>
            <w:vAlign w:val="center"/>
          </w:tcPr>
          <w:p>
            <w:pPr>
              <w:pStyle w:val="TableContents"/>
              <w:bidi w:val="0"/>
              <w:spacing w:before="0" w:after="283"/>
              <w:jc w:val="left"/>
              <w:rPr/>
            </w:pPr>
            <w:r>
              <w:rPr/>
              <w:t> </w:t>
            </w:r>
          </w:p>
        </w:tc>
      </w:tr>
      <w:tr>
        <w:trPr/>
        <w:tc>
          <w:tcPr>
            <w:tcW w:w="230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b/g</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216" w:type="dxa"/>
            <w:tcBorders/>
            <w:shd w:fill="CFF0FC"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TLR7/8 Agonist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216" w:type="dxa"/>
            <w:tcBorders/>
            <w:shd w:fill="FFFFFF" w:val="clear"/>
            <w:vAlign w:val="center"/>
          </w:tcPr>
          <w:p>
            <w:pPr>
              <w:pStyle w:val="TableContents"/>
              <w:bidi w:val="0"/>
              <w:spacing w:before="0" w:after="283"/>
              <w:jc w:val="left"/>
              <w:rPr/>
            </w:pPr>
            <w:r>
              <w:rPr/>
              <w:t> </w:t>
            </w:r>
          </w:p>
        </w:tc>
      </w:tr>
      <w:tr>
        <w:trPr/>
        <w:tc>
          <w:tcPr>
            <w:tcW w:w="2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Ophthalmology</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32,339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for the three months ended March 31, 2024, was €66.8 million, representing an increase of €0.2 million, compared to the three months ended March 31, 2023. This increase was primarily due to higher employee costs, including the impact from commercial expansion, partly offset by lower external pre-launch and administrative expenses.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SG&amp;A expenses was as follows:</w:t>
      </w:r>
    </w:p>
    <w:tbl>
      <w:tblPr>
        <w:tblW w:w="10205" w:type="dxa"/>
        <w:jc w:val="left"/>
        <w:tblInd w:w="0" w:type="dxa"/>
        <w:tblLayout w:type="fixed"/>
        <w:tblCellMar>
          <w:top w:w="28" w:type="dxa"/>
          <w:left w:w="28" w:type="dxa"/>
          <w:bottom w:w="28" w:type="dxa"/>
          <w:right w:w="28" w:type="dxa"/>
        </w:tblCellMar>
      </w:tblPr>
      <w:tblGrid>
        <w:gridCol w:w="3083"/>
        <w:gridCol w:w="146"/>
        <w:gridCol w:w="190"/>
        <w:gridCol w:w="883"/>
        <w:gridCol w:w="146"/>
        <w:gridCol w:w="146"/>
        <w:gridCol w:w="176"/>
        <w:gridCol w:w="819"/>
        <w:gridCol w:w="146"/>
        <w:gridCol w:w="146"/>
        <w:gridCol w:w="222"/>
        <w:gridCol w:w="1036"/>
        <w:gridCol w:w="146"/>
        <w:gridCol w:w="146"/>
        <w:gridCol w:w="214"/>
        <w:gridCol w:w="999"/>
        <w:gridCol w:w="146"/>
        <w:gridCol w:w="146"/>
        <w:gridCol w:w="190"/>
        <w:gridCol w:w="883"/>
        <w:gridCol w:w="196"/>
      </w:tblGrid>
      <w:tr>
        <w:trPr/>
        <w:tc>
          <w:tcPr>
            <w:tcW w:w="3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6" w:type="dxa"/>
            <w:tcBorders/>
            <w:shd w:fill="FFFFFF" w:val="clear"/>
            <w:vAlign w:val="center"/>
          </w:tcPr>
          <w:p>
            <w:pPr>
              <w:pStyle w:val="TableContents"/>
              <w:bidi w:val="0"/>
              <w:spacing w:before="0" w:after="283"/>
              <w:jc w:val="center"/>
              <w:rPr/>
            </w:pPr>
            <w:r>
              <w:rPr/>
              <w:t> </w:t>
            </w:r>
          </w:p>
        </w:tc>
      </w:tr>
      <w:tr>
        <w:trPr/>
        <w:tc>
          <w:tcPr>
            <w:tcW w:w="30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3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33,543</w:t>
            </w:r>
          </w:p>
        </w:tc>
        <w:tc>
          <w:tcPr>
            <w:tcW w:w="196" w:type="dxa"/>
            <w:tcBorders/>
            <w:shd w:fill="FFFFFF" w:val="clear"/>
            <w:vAlign w:val="center"/>
          </w:tcPr>
          <w:p>
            <w:pPr>
              <w:pStyle w:val="TableContents"/>
              <w:bidi w:val="0"/>
              <w:spacing w:before="0" w:after="283"/>
              <w:jc w:val="left"/>
              <w:rPr/>
            </w:pPr>
            <w:r>
              <w:rPr/>
              <w:t> </w:t>
            </w:r>
          </w:p>
        </w:tc>
      </w:tr>
      <w:tr>
        <w:trPr/>
        <w:tc>
          <w:tcPr>
            <w:tcW w:w="3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31,795</w:t>
            </w:r>
          </w:p>
        </w:tc>
        <w:tc>
          <w:tcPr>
            <w:tcW w:w="196" w:type="dxa"/>
            <w:tcBorders/>
            <w:shd w:fill="CFF0FC" w:val="clear"/>
            <w:vAlign w:val="center"/>
          </w:tcPr>
          <w:p>
            <w:pPr>
              <w:pStyle w:val="TableContents"/>
              <w:bidi w:val="0"/>
              <w:spacing w:before="0" w:after="283"/>
              <w:jc w:val="left"/>
              <w:rPr/>
            </w:pPr>
            <w:r>
              <w:rPr/>
              <w:t> </w:t>
            </w:r>
          </w:p>
        </w:tc>
      </w:tr>
      <w:tr>
        <w:trPr/>
        <w:tc>
          <w:tcPr>
            <w:tcW w:w="3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66,783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Finance Income and Finance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income for the three months ended March 31, 2024, was €3.6 million, representing a decrease of €41.6 million, compared to the three months ended March 31, 2023. This decrease was primarily due to fair value adjustment on derivative liabilities related to our convertible senior notes, which represented a fair value loss of €54 million for the three months ended March 31, 2024, compared to a fair value gain of €41.2 million for the three months ended March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Finance expenses for the three months ended March 31, 2024, was €77.2 million, representing an increase of €67.3 million, compared to the three months ended March 31, 2023. This increase was primarily due to a fair value loss on derivative liabilities as described above of €54 million, €8.1 million higher exchange rate losses and €4.8 million in interest charges on royalty funding liabilities which we entered into in September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March 31, 2024 amounted to €320.2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expenditures primarily relate to continued development of our endocrinology rare disease and oncology therapeutic areas, the commercialization of SKYTROFA and YORVIPATH, and expenses made in anticipation of potential future product launches. We manage our liquidity risk by maintaining adequate cash reserves and banking facilities in line with our cash-forecasts. We monitor the risk of a shortage of funds through liquidity planning tools, to ensure sufficient funds are available to settle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the unaudited condensed consolidated interim statements of financial position presented a negative balance of equity of €238.2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capital resources as of March 31, 2024, will be sufficient to meet our projected cash requirements for at least twelve months from the date of this report. However, our operating plan may change as a result of many factors currently unknown to us, and we may need to seek additional funds sooner than planned.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issuance of preference shares, ordinary shares, including our initial public offering, follow-on offerings and exercise of warrants, convertible debt securities, and payments to us made under collaboration agreements. Including our initial public offering, since February 2015, we have completed public offerings of American Depositary Shares (“ADSs”) with net proceeds of $2,256.6 million (or €1,968.4 million at the time of the offerings).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we issued an aggregate principal amount of $575.0 million of fixed rate 2.25% convertible notes. The coupon interest is payable semi-annually. Unless earlier converted or redeemed, the convertible notes will mature on April 1, 2028. Refer to Note 10, “Financial Assets and Liabilities” for further information. We used $116.7 million (€105.3 million) of the net proceeds from the offering in March 2022 to repurchase 1,000,000 ADSs representing our ordinary shares. The holding of treasury shares is disclosed in Note 9, “Treasury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entered into a $150.0 million capped synthetic royalty funding agreement (the “Royalty Pharma Agreement”) with Royalty Pharma (the “Purchaser”). Under the terms of the Royalty Pharma Agreement, in exchange for the Purchaser’s payment of a cash purchase price of $150.0 million at closing (the “Purchase Price”), we have agreed to sell to the Purchaser its right to receive payment in full of 9.15%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 The Royalty Pharma Agreement includes a buy-out option under various terms and conditions. Obligations under the Royalty Pharma Agreement are presented as part of borrowings in the consolidated statements of financial position. Further details are provided in Note 10, “Financial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2023 Annual Report on Form 20-F.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building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TransCon hGH, TransCon PTH, and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manufacturing of our products and product candidates, including the timing of when we incur such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 candidates that have not been licensed,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the successful commercialization and co-promotion of our products and product candidates, if approved, and our efforts to develop and commercialize our other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opportunities and patient populations for our products and product candidates, if approved, including with respect to TransCon PTH, and our ability to obtain market acceptance of our products and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purchase ADSs prior to settlement for such shares under our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three months ended March 31, 2024 and 2023: </w:t>
      </w:r>
    </w:p>
    <w:tbl>
      <w:tblPr>
        <w:tblW w:w="8428" w:type="dxa"/>
        <w:jc w:val="left"/>
        <w:tblInd w:w="0" w:type="dxa"/>
        <w:tblLayout w:type="fixed"/>
        <w:tblCellMar>
          <w:top w:w="28" w:type="dxa"/>
          <w:left w:w="28" w:type="dxa"/>
          <w:bottom w:w="28" w:type="dxa"/>
          <w:right w:w="28" w:type="dxa"/>
        </w:tblCellMar>
      </w:tblPr>
      <w:tblGrid>
        <w:gridCol w:w="4486"/>
        <w:gridCol w:w="146"/>
        <w:gridCol w:w="146"/>
        <w:gridCol w:w="841"/>
        <w:gridCol w:w="166"/>
        <w:gridCol w:w="146"/>
        <w:gridCol w:w="146"/>
        <w:gridCol w:w="841"/>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5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58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45,462</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 (used in) Operating Activities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operating activities for the three months ended March 31, 2024 was €101.6 million, representing a decrease of €45.5 million compared to the three months ended March 31, 2023. This improvement is primarily related to higher commercial revenue and reduced operating expenditures, and for further adjustment for changes to non-operating financial income and expenses, taxes and non-cash items of total €73.3 million, offset by increased changes in working capital of €27.8 million due to commercial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investing activities for the three months ended March 31, 2024 was €7.2 million, representing a decrease of €203.5 million compared to the three months ended March 31, 2023. This decrease was primarily attributable to €204.4 million higher net settlements of marketable securities in line with our liquidity management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financing activities for the three months ended March 31, 2024 was €18.4 million, representing an increase of €19.1 million compared to cash flows from financing activities for the three months ended March 31, 2023. This increase was primarily attributable to increased warrant exercise activity of €19.3 million.</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entered into any off-balance sheet arrangements or any holdings in variable interest entities. </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10, “Financial Assets and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 We seek to minimize our exchange rate risk by maintaining cash positions in the currencies in which we expect to incur the majority of our future expenses and we make payments from those positions.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Accordingly, since the fair value is exposed from the development in interest rates, the profit or loss is exposed to volatility from such development.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affects us as our vendors may pass on any increased costs to us and accordingly increase our R&amp;D costs, SG&amp;A expenses and cost of manufacturing. We do not believe that inflation had a material impact on our results of operation for the three months ended March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and,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As of March 31, 2024, we do not hold marketable securities.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from the development in our share price, when remeasuring derivative liabilities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our share price. Sensitivity analysis over derivative liabilities is disclosed in Note 10,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21159</Words>
  <Characters>122244</Characters>
  <CharactersWithSpaces>144330</CharactersWithSpaces>
  <Paragraphs>4145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