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83438d6k.htm"/>
      <w:bookmarkStart w:id="1" w:name="ksd18343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001-36815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Ascendis Pharma A/S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Tuborg Boulevard 12 </w:t>
      </w:r>
    </w:p>
    <w:p>
      <w:pPr>
        <w:pStyle w:val="TextBody"/>
        <w:bidi w:val="0"/>
        <w:spacing w:before="0" w:after="0"/>
        <w:jc w:val="center"/>
        <w:rPr>
          <w:rFonts w:ascii="Times New Roman" w:hAnsi="Times New Roman"/>
          <w:b/>
          <w:sz w:val="20"/>
        </w:rPr>
      </w:pPr>
      <w:r>
        <w:rPr>
          <w:rFonts w:ascii="Times New Roman" w:hAnsi="Times New Roman"/>
          <w:b/>
          <w:sz w:val="20"/>
        </w:rPr>
        <w:t xml:space="preserve">DK-2900 Hellerup </w:t>
      </w:r>
    </w:p>
    <w:p>
      <w:pPr>
        <w:pStyle w:val="TextBody"/>
        <w:bidi w:val="0"/>
        <w:spacing w:before="0" w:after="0"/>
        <w:jc w:val="center"/>
        <w:rPr>
          <w:rFonts w:ascii="Times New Roman" w:hAnsi="Times New Roman"/>
          <w:b/>
          <w:sz w:val="20"/>
        </w:rPr>
      </w:pPr>
      <w:r>
        <w:rPr>
          <w:rFonts w:ascii="Times New Roman" w:hAnsi="Times New Roman"/>
          <w:b/>
          <w:sz w:val="20"/>
        </w:rPr>
        <w:t xml:space="preserve">Denmark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incorporated by reference into the registration statements on Form S-8 (Registration Numbers 333-203040, 333-210810, 333-211512, 333-213412, 333-214843, 333-216883, 333-228576, 333-254101, 333-261550, 333-270088, 333-277519, 333-281916, 333-285322 and 333-293854)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On September 14, 2026, Ascendis Pharma A/S (the “Company”) announced that it will regain the exclusive rights to develop, manufacture, and commercialize TransCon technology-based products in metabolic and cardiovascular diseases, including obesity. This follows termination of the collaboration agreement between the Company and Novo Nordisk A/S announced in November 2024. Under the terms of the agreement, following termination all licenses granted to Novo Nordisk A/S in metabolic and cardiovascular diseases, including for once-monthly TransCon Semaglutide, will revert to the Company, and neither party has any continuing financial obligations to the other.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that involve substantial risks and uncertainties. All statements, other than statements of historical facts, included in this report regarding Ascendis’ future operations, plans and objectives of management are forward-looking statements within the meaning of Section 27A of the Securities Act of 1933, as amended, and Section 21E of the Securities Exchange Act of 1934, as amended. Examples of such statements include, but are not limited to, statements relating to the expected termination of the collaboration agreement with Novo Nordisk A/S and the reversion of rights to Ascendis and related financial obligations.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without limitation: dependence on third-party manufacturers, distributors, and service providers for Ascendis’ products and product candidates; risks related to regulatory review and approval, including the possibility of delays, requests for additional data or analyses, restrictions or limitations on use, approval with labeling that is more limited than expected, or failure to obtain approval in the United States, European Union, or other jurisdictions; clinical development risks, including that results from ongoing or future trials may not confirm earlier data; unforeseen safety or efficacy findings in development programs or on-market products; manufacturing, supply chain, quality, or logistics issues that could delay development or commercialization; unforeseen expenses related to commercialization of any approved Ascendis products; unforeseen research and development or selling, general and administrative expenses and other costs impacting Ascendis’ business generally; market acceptance, pricing, and reimbursement challenges, including payer coverage decisions and health technology assessments; competitive developments, including new or improved therapies; intellectual property protection, freedom-to-operate, and litigation risks; Ascendis’ ability to obtain additional funding, if needed, to support its business activities; cybersecurity, data privacy, and information technology disruptions; and the impact of international economic, political, legal, compliance, public health, and business factors, including tariffs, trade policies, currency fluctuations, and geopolitical events.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11, 2026,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3"/>
        <w:gridCol w:w="103"/>
        <w:gridCol w:w="404"/>
        <w:gridCol w:w="103"/>
        <w:gridCol w:w="314"/>
        <w:gridCol w:w="103"/>
        <w:gridCol w:w="4575"/>
      </w:tblGrid>
      <w:tr>
        <w:trPr/>
        <w:tc>
          <w:tcPr>
            <w:tcW w:w="460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75" w:type="dxa"/>
            <w:tcBorders/>
            <w:vAlign w:val="center"/>
          </w:tcPr>
          <w:p>
            <w:pPr>
              <w:pStyle w:val="TableContents"/>
              <w:bidi w:val="0"/>
              <w:spacing w:before="0" w:after="283"/>
              <w:jc w:val="left"/>
              <w:rPr>
                <w:sz w:val="4"/>
                <w:szCs w:val="4"/>
              </w:rPr>
            </w:pPr>
            <w:r>
              <w:rPr>
                <w:sz w:val="4"/>
                <w:szCs w:val="4"/>
              </w:rPr>
            </w:r>
          </w:p>
        </w:tc>
      </w:tr>
      <w:tr>
        <w:trPr/>
        <w:tc>
          <w:tcPr>
            <w:tcW w:w="46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99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Ascendis Pharma A/S</w:t>
            </w:r>
          </w:p>
        </w:tc>
      </w:tr>
      <w:tr>
        <w:trPr>
          <w:trHeight w:val="240" w:hRule="atLeast"/>
        </w:trPr>
        <w:tc>
          <w:tcPr>
            <w:tcW w:w="4603"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7" w:type="dxa"/>
            <w:gridSpan w:val="2"/>
            <w:tcBorders/>
            <w:vAlign w:val="center"/>
          </w:tcPr>
          <w:p>
            <w:pPr>
              <w:pStyle w:val="TableContents"/>
              <w:bidi w:val="0"/>
              <w:spacing w:before="0" w:after="283"/>
              <w:jc w:val="left"/>
              <w:rPr>
                <w:sz w:val="4"/>
                <w:szCs w:val="4"/>
              </w:rPr>
            </w:pPr>
            <w:r>
              <w:rPr>
                <w:sz w:val="4"/>
                <w:szCs w:val="4"/>
              </w:rPr>
            </w:r>
          </w:p>
        </w:tc>
        <w:tc>
          <w:tcPr>
            <w:tcW w:w="4678" w:type="dxa"/>
            <w:gridSpan w:val="2"/>
            <w:tcBorders/>
            <w:vAlign w:val="center"/>
          </w:tcPr>
          <w:p>
            <w:pPr>
              <w:pStyle w:val="TableContents"/>
              <w:bidi w:val="0"/>
              <w:spacing w:before="0" w:after="283"/>
              <w:jc w:val="left"/>
              <w:rPr>
                <w:sz w:val="4"/>
                <w:szCs w:val="4"/>
              </w:rPr>
            </w:pPr>
            <w:r>
              <w:rPr>
                <w:sz w:val="4"/>
                <w:szCs w:val="4"/>
              </w:rPr>
            </w:r>
          </w:p>
        </w:tc>
      </w:tr>
      <w:tr>
        <w:trPr/>
        <w:tc>
          <w:tcPr>
            <w:tcW w:w="4603" w:type="dxa"/>
            <w:tcBorders/>
          </w:tcPr>
          <w:p>
            <w:pPr>
              <w:pStyle w:val="TableContents"/>
              <w:bidi w:val="0"/>
              <w:spacing w:before="0" w:after="283"/>
              <w:jc w:val="left"/>
              <w:rPr/>
            </w:pPr>
            <w:r>
              <w:rPr/>
              <w:t>Date: September 14, 2026</w:t>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4" w:type="dxa"/>
            <w:tcBorders/>
          </w:tcPr>
          <w:p>
            <w:pPr>
              <w:pStyle w:val="TableContents"/>
              <w:bidi w:val="0"/>
              <w:spacing w:before="0" w:after="283"/>
              <w:jc w:val="left"/>
              <w:rPr/>
            </w:pPr>
            <w:r>
              <w:rPr/>
              <w:t>By:</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4575" w:type="dxa"/>
            <w:tcBorders>
              <w:bottom w:val="single" w:sz="2" w:space="0" w:color="000000"/>
            </w:tcBorders>
            <w:tcMar>
              <w:bottom w:w="28" w:type="dxa"/>
            </w:tcMar>
          </w:tcPr>
          <w:p>
            <w:pPr>
              <w:pStyle w:val="TableContents"/>
              <w:bidi w:val="0"/>
              <w:spacing w:before="0" w:after="283"/>
              <w:jc w:val="left"/>
              <w:rPr/>
            </w:pPr>
            <w:r>
              <w:rPr/>
              <w:t>/s/ Michael Wolff Jensen</w:t>
            </w:r>
          </w:p>
        </w:tc>
      </w:tr>
      <w:tr>
        <w:trPr/>
        <w:tc>
          <w:tcPr>
            <w:tcW w:w="46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Michael Wolff Jensen</w:t>
            </w:r>
          </w:p>
        </w:tc>
      </w:tr>
      <w:tr>
        <w:trPr/>
        <w:tc>
          <w:tcPr>
            <w:tcW w:w="460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803</Words>
  <Characters>5019</Characters>
  <CharactersWithSpaces>5842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